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4A16" w14:textId="125B05F3" w:rsidR="005223FF" w:rsidRPr="006620E8" w:rsidRDefault="003B7180" w:rsidP="005223FF">
      <w:pPr>
        <w:jc w:val="right"/>
      </w:pPr>
      <w:r w:rsidRPr="006620E8">
        <w:t xml:space="preserve">ORDER NO. </w:t>
      </w:r>
      <w:r w:rsidR="00485600">
        <w:t>6471</w:t>
      </w:r>
    </w:p>
    <w:p w14:paraId="51B04807" w14:textId="77777777" w:rsidR="005223FF" w:rsidRPr="006620E8" w:rsidRDefault="005223FF" w:rsidP="005073B5">
      <w:pPr>
        <w:pStyle w:val="NormalLeft"/>
        <w:spacing w:line="240" w:lineRule="auto"/>
        <w:jc w:val="center"/>
      </w:pPr>
    </w:p>
    <w:p w14:paraId="72C81BA4" w14:textId="77777777" w:rsidR="005223FF" w:rsidRPr="006620E8" w:rsidRDefault="005223FF" w:rsidP="005223FF">
      <w:pPr>
        <w:pStyle w:val="NormalLeft"/>
        <w:spacing w:line="240" w:lineRule="auto"/>
        <w:jc w:val="center"/>
      </w:pPr>
      <w:r w:rsidRPr="006620E8">
        <w:t>UNITED STATES OF AMERICA</w:t>
      </w:r>
    </w:p>
    <w:p w14:paraId="01D96063" w14:textId="77777777" w:rsidR="005223FF" w:rsidRPr="006620E8" w:rsidRDefault="005223FF" w:rsidP="005223FF">
      <w:pPr>
        <w:pStyle w:val="NormalLeft"/>
        <w:spacing w:line="240" w:lineRule="auto"/>
        <w:jc w:val="center"/>
      </w:pPr>
      <w:r w:rsidRPr="006620E8">
        <w:t>POSTAL REGULATORY COMMISSION</w:t>
      </w:r>
    </w:p>
    <w:p w14:paraId="0B53688C" w14:textId="77777777" w:rsidR="005223FF" w:rsidRPr="006620E8" w:rsidRDefault="005223FF" w:rsidP="005223FF">
      <w:pPr>
        <w:pStyle w:val="NormalLeft"/>
        <w:spacing w:line="240" w:lineRule="auto"/>
        <w:jc w:val="center"/>
      </w:pPr>
      <w:r w:rsidRPr="006620E8">
        <w:t>WASHINGTON, DC 20268-0001</w:t>
      </w:r>
    </w:p>
    <w:p w14:paraId="19DE6748" w14:textId="77777777" w:rsidR="005223FF" w:rsidRPr="006620E8" w:rsidRDefault="005223FF" w:rsidP="005223FF">
      <w:pPr>
        <w:pStyle w:val="NormalLeft"/>
        <w:spacing w:line="240" w:lineRule="auto"/>
        <w:jc w:val="center"/>
      </w:pPr>
    </w:p>
    <w:p w14:paraId="492FECB2" w14:textId="77777777" w:rsidR="005223FF" w:rsidRPr="006620E8" w:rsidRDefault="005223FF" w:rsidP="001869D2">
      <w:pPr>
        <w:pStyle w:val="NormalLeft"/>
        <w:spacing w:line="240" w:lineRule="auto"/>
        <w:jc w:val="center"/>
      </w:pPr>
    </w:p>
    <w:p w14:paraId="4E984DB4" w14:textId="22C143CF" w:rsidR="005223FF" w:rsidRPr="006620E8" w:rsidRDefault="005223FF" w:rsidP="005223FF">
      <w:pPr>
        <w:pStyle w:val="NormalLeft"/>
        <w:tabs>
          <w:tab w:val="left" w:pos="5040"/>
        </w:tabs>
        <w:spacing w:line="240" w:lineRule="auto"/>
      </w:pPr>
      <w:r w:rsidRPr="006620E8">
        <w:t>Before Commissioners:</w:t>
      </w:r>
      <w:r w:rsidRPr="006620E8">
        <w:tab/>
        <w:t>Michael Kubayanda, Chairman;</w:t>
      </w:r>
      <w:r w:rsidRPr="006620E8">
        <w:br/>
      </w:r>
      <w:r w:rsidRPr="006620E8">
        <w:tab/>
        <w:t>Mark Acton, Vice Chairman;</w:t>
      </w:r>
      <w:r w:rsidRPr="006620E8">
        <w:br/>
      </w:r>
      <w:r w:rsidRPr="006620E8">
        <w:tab/>
        <w:t>Ann C. Fisher;</w:t>
      </w:r>
      <w:r w:rsidRPr="006620E8">
        <w:br/>
      </w:r>
      <w:r w:rsidRPr="006620E8">
        <w:tab/>
        <w:t>Ashley E. Poling; and</w:t>
      </w:r>
      <w:r w:rsidRPr="006620E8">
        <w:br/>
      </w:r>
      <w:r w:rsidRPr="006620E8">
        <w:tab/>
        <w:t>Robert G. Taub</w:t>
      </w:r>
    </w:p>
    <w:p w14:paraId="43E9DD3D" w14:textId="77777777" w:rsidR="005223FF" w:rsidRPr="006620E8" w:rsidRDefault="005223FF" w:rsidP="001869D2">
      <w:pPr>
        <w:pStyle w:val="NormalLeft"/>
        <w:spacing w:line="240" w:lineRule="auto"/>
        <w:jc w:val="center"/>
      </w:pPr>
    </w:p>
    <w:p w14:paraId="7DD947BF" w14:textId="77777777" w:rsidR="005223FF" w:rsidRPr="006620E8" w:rsidRDefault="005223FF" w:rsidP="001869D2">
      <w:pPr>
        <w:pStyle w:val="NormalLeft"/>
        <w:spacing w:line="240" w:lineRule="auto"/>
        <w:jc w:val="center"/>
      </w:pPr>
    </w:p>
    <w:p w14:paraId="6C90AF63" w14:textId="2141FC98" w:rsidR="005223FF" w:rsidRPr="006620E8" w:rsidRDefault="0077506B" w:rsidP="005223FF">
      <w:pPr>
        <w:pStyle w:val="NormalLeft"/>
        <w:tabs>
          <w:tab w:val="left" w:pos="6660"/>
          <w:tab w:val="left" w:pos="6840"/>
        </w:tabs>
        <w:spacing w:line="240" w:lineRule="auto"/>
      </w:pPr>
      <w:r w:rsidRPr="006620E8">
        <w:t xml:space="preserve">Public Inquiry on </w:t>
      </w:r>
      <w:r w:rsidR="005736AF" w:rsidRPr="006620E8">
        <w:t xml:space="preserve">Review of </w:t>
      </w:r>
      <w:r w:rsidR="005223FF" w:rsidRPr="006620E8">
        <w:tab/>
        <w:t xml:space="preserve">Docket No. </w:t>
      </w:r>
      <w:r w:rsidR="00021052" w:rsidRPr="006620E8">
        <w:t>PI</w:t>
      </w:r>
      <w:r w:rsidR="006822C4" w:rsidRPr="006620E8">
        <w:t>2023-</w:t>
      </w:r>
      <w:r w:rsidR="002A6678" w:rsidRPr="006620E8">
        <w:t>2</w:t>
      </w:r>
    </w:p>
    <w:p w14:paraId="5C91ADEA" w14:textId="23B69DA1" w:rsidR="00151CA0" w:rsidRPr="006620E8" w:rsidRDefault="00AD13A6" w:rsidP="00151CA0">
      <w:pPr>
        <w:pStyle w:val="Header"/>
        <w:tabs>
          <w:tab w:val="left" w:pos="720"/>
        </w:tabs>
        <w:ind w:firstLine="0"/>
      </w:pPr>
      <w:r w:rsidRPr="006620E8">
        <w:t>Postal Service Cost Attribution</w:t>
      </w:r>
    </w:p>
    <w:p w14:paraId="05A54D13" w14:textId="77777777" w:rsidR="005223FF" w:rsidRPr="006620E8" w:rsidRDefault="005223FF" w:rsidP="005223FF">
      <w:pPr>
        <w:pStyle w:val="NormalLeft"/>
        <w:spacing w:line="240" w:lineRule="auto"/>
        <w:jc w:val="center"/>
      </w:pPr>
    </w:p>
    <w:p w14:paraId="318A78CB" w14:textId="0A04AFB3" w:rsidR="005223FF" w:rsidRPr="006620E8" w:rsidRDefault="005223FF" w:rsidP="005073B5">
      <w:pPr>
        <w:pStyle w:val="NormalLeft"/>
        <w:spacing w:line="240" w:lineRule="auto"/>
        <w:jc w:val="center"/>
      </w:pPr>
    </w:p>
    <w:p w14:paraId="566164A6" w14:textId="77777777" w:rsidR="005D3FBD" w:rsidRPr="006620E8" w:rsidRDefault="005D3FBD" w:rsidP="005D3FBD">
      <w:pPr>
        <w:spacing w:line="240" w:lineRule="auto"/>
        <w:jc w:val="center"/>
      </w:pPr>
      <w:r w:rsidRPr="006620E8">
        <w:t>NOTICE AND ORDER INITIATING PROCEEDING</w:t>
      </w:r>
    </w:p>
    <w:p w14:paraId="715F2080" w14:textId="77777777" w:rsidR="005D3FBD" w:rsidRPr="006620E8" w:rsidRDefault="005D3FBD" w:rsidP="005D3FBD">
      <w:pPr>
        <w:spacing w:line="240" w:lineRule="auto"/>
        <w:jc w:val="center"/>
      </w:pPr>
      <w:r w:rsidRPr="006620E8">
        <w:t>TO REVIEW POSTAL SERVICE COST ATTRIBUTION</w:t>
      </w:r>
    </w:p>
    <w:p w14:paraId="6927E3E5" w14:textId="77777777" w:rsidR="005223FF" w:rsidRPr="006620E8" w:rsidRDefault="005223FF" w:rsidP="002A6586">
      <w:pPr>
        <w:pStyle w:val="NormalLeft"/>
        <w:spacing w:line="240" w:lineRule="auto"/>
        <w:jc w:val="center"/>
      </w:pPr>
    </w:p>
    <w:p w14:paraId="53574E3F" w14:textId="22933F3E" w:rsidR="008D7DCA" w:rsidRPr="006620E8" w:rsidRDefault="005223FF" w:rsidP="001869D2">
      <w:pPr>
        <w:pStyle w:val="NormalLeft"/>
        <w:spacing w:line="240" w:lineRule="auto"/>
        <w:jc w:val="center"/>
      </w:pPr>
      <w:r w:rsidRPr="006620E8">
        <w:t xml:space="preserve">(Issued </w:t>
      </w:r>
      <w:r w:rsidR="00485600">
        <w:t>March 31</w:t>
      </w:r>
      <w:r w:rsidRPr="006620E8">
        <w:t>, 2023)</w:t>
      </w:r>
    </w:p>
    <w:p w14:paraId="4783AD6E" w14:textId="220379F6" w:rsidR="00A77F52" w:rsidRPr="006620E8" w:rsidRDefault="00A77F52" w:rsidP="00D20309">
      <w:pPr>
        <w:pStyle w:val="NormalLeft"/>
        <w:numPr>
          <w:ilvl w:val="0"/>
          <w:numId w:val="6"/>
        </w:numPr>
        <w:spacing w:before="360" w:after="240" w:line="240" w:lineRule="auto"/>
      </w:pPr>
      <w:r w:rsidRPr="006620E8">
        <w:t>INTRODUCTION</w:t>
      </w:r>
    </w:p>
    <w:p w14:paraId="2A15D7AF" w14:textId="2E2684E4" w:rsidR="00057CC0" w:rsidRPr="006620E8" w:rsidRDefault="00BA3924" w:rsidP="00DD09D1">
      <w:r w:rsidRPr="006620E8">
        <w:t xml:space="preserve">Pursuant to </w:t>
      </w:r>
      <w:r w:rsidR="000F7A52" w:rsidRPr="006620E8">
        <w:t>section 203 of the Postal Service Reform Act of 2022 (PSRA),</w:t>
      </w:r>
      <w:r w:rsidR="00661260" w:rsidRPr="006620E8">
        <w:rPr>
          <w:rStyle w:val="FootnoteReference"/>
        </w:rPr>
        <w:footnoteReference w:id="2"/>
      </w:r>
      <w:r w:rsidR="000F7A52" w:rsidRPr="006620E8">
        <w:t xml:space="preserve"> </w:t>
      </w:r>
      <w:r w:rsidRPr="006620E8">
        <w:t>the Commission initiat</w:t>
      </w:r>
      <w:r w:rsidR="00F809CC" w:rsidRPr="006620E8">
        <w:t>es</w:t>
      </w:r>
      <w:r w:rsidRPr="006620E8">
        <w:t xml:space="preserve"> a review of regulations issued pursuant to 39 U.S.C. §§ 3633(a) and 3652(a)(1)</w:t>
      </w:r>
      <w:r w:rsidR="00D92EC1" w:rsidRPr="006620E8">
        <w:rPr>
          <w:rStyle w:val="FootnoteReference"/>
        </w:rPr>
        <w:footnoteReference w:id="3"/>
      </w:r>
      <w:r w:rsidR="00D965AF" w:rsidRPr="006620E8">
        <w:t xml:space="preserve"> </w:t>
      </w:r>
      <w:r w:rsidR="00663391" w:rsidRPr="006620E8">
        <w:t>relat</w:t>
      </w:r>
      <w:r w:rsidR="007E1A12" w:rsidRPr="006620E8">
        <w:t>ing</w:t>
      </w:r>
      <w:r w:rsidR="00663391" w:rsidRPr="006620E8">
        <w:t xml:space="preserve"> to </w:t>
      </w:r>
      <w:r w:rsidR="0054693E" w:rsidRPr="006620E8">
        <w:t>postal</w:t>
      </w:r>
      <w:r w:rsidR="00114B88" w:rsidRPr="006620E8">
        <w:t xml:space="preserve"> cost attribution</w:t>
      </w:r>
      <w:r w:rsidR="00E623A6" w:rsidRPr="006620E8">
        <w:t xml:space="preserve"> </w:t>
      </w:r>
      <w:r w:rsidR="0080381F" w:rsidRPr="006620E8">
        <w:t>to</w:t>
      </w:r>
      <w:r w:rsidRPr="006620E8">
        <w:t xml:space="preserve"> determine whether any revisions to </w:t>
      </w:r>
      <w:r w:rsidR="005E6D00" w:rsidRPr="006620E8">
        <w:lastRenderedPageBreak/>
        <w:t>those</w:t>
      </w:r>
      <w:r w:rsidRPr="006620E8">
        <w:t xml:space="preserve"> regulations, </w:t>
      </w:r>
      <w:r w:rsidR="004C4DF2" w:rsidRPr="006620E8">
        <w:t>or to any</w:t>
      </w:r>
      <w:r w:rsidRPr="006620E8">
        <w:t xml:space="preserve"> </w:t>
      </w:r>
      <w:r w:rsidR="00875C9F" w:rsidRPr="006620E8">
        <w:t>analytical principles</w:t>
      </w:r>
      <w:r w:rsidR="00FE6634" w:rsidRPr="006620E8">
        <w:t xml:space="preserve"> (including any costing methodologies or cost models) used in postal cost attribution</w:t>
      </w:r>
      <w:r w:rsidRPr="006620E8">
        <w:t>, are appropriate</w:t>
      </w:r>
      <w:r w:rsidR="00EE4E96" w:rsidRPr="006620E8">
        <w:t>.</w:t>
      </w:r>
    </w:p>
    <w:p w14:paraId="52C536C5" w14:textId="37F4DB09" w:rsidR="00104B58" w:rsidRPr="006620E8" w:rsidRDefault="009F26FD" w:rsidP="00D20309">
      <w:pPr>
        <w:pStyle w:val="NormalLeft"/>
        <w:numPr>
          <w:ilvl w:val="0"/>
          <w:numId w:val="6"/>
        </w:numPr>
        <w:spacing w:before="360" w:after="240" w:line="240" w:lineRule="auto"/>
      </w:pPr>
      <w:r w:rsidRPr="006620E8">
        <w:t>BACKGROUND</w:t>
      </w:r>
    </w:p>
    <w:p w14:paraId="1EC72C7C" w14:textId="0F2C0173" w:rsidR="009E6653" w:rsidRDefault="00017D2A" w:rsidP="00084750">
      <w:r w:rsidRPr="006620E8">
        <w:t xml:space="preserve">The </w:t>
      </w:r>
      <w:r w:rsidR="00057CC0" w:rsidRPr="006620E8">
        <w:t>PSRA</w:t>
      </w:r>
      <w:r w:rsidRPr="006620E8">
        <w:t>, enacted on April 6, 2022,</w:t>
      </w:r>
      <w:r w:rsidR="00057CC0" w:rsidRPr="006620E8">
        <w:t xml:space="preserve"> amended Title 39 of the United States Code and other relevant statutory provisions</w:t>
      </w:r>
      <w:r w:rsidR="00DD09D1" w:rsidRPr="006620E8">
        <w:t xml:space="preserve">. </w:t>
      </w:r>
      <w:r w:rsidR="00057CC0" w:rsidRPr="006620E8">
        <w:t xml:space="preserve"> Among other changes, section 203 of the PSRA add</w:t>
      </w:r>
      <w:r w:rsidRPr="006620E8">
        <w:t>ed</w:t>
      </w:r>
      <w:r w:rsidR="00057CC0" w:rsidRPr="006620E8">
        <w:t xml:space="preserve"> a note to 39 U.S.C. § 3633, which requires </w:t>
      </w:r>
      <w:r w:rsidRPr="006620E8">
        <w:t xml:space="preserve">that </w:t>
      </w:r>
      <w:r w:rsidR="00057CC0" w:rsidRPr="006620E8">
        <w:t>the Commission</w:t>
      </w:r>
      <w:r w:rsidR="00461EDD" w:rsidRPr="006620E8">
        <w:t>, no later than April 6, 2023,</w:t>
      </w:r>
    </w:p>
    <w:p w14:paraId="66427472" w14:textId="56879B3D" w:rsidR="009E6653" w:rsidRPr="008325CE" w:rsidRDefault="00057CC0" w:rsidP="008325CE">
      <w:pPr>
        <w:spacing w:line="240" w:lineRule="auto"/>
        <w:ind w:left="1440" w:right="1440" w:firstLine="0"/>
        <w:jc w:val="both"/>
        <w:rPr>
          <w:sz w:val="22"/>
          <w:szCs w:val="22"/>
        </w:rPr>
      </w:pPr>
      <w:r w:rsidRPr="008325CE">
        <w:rPr>
          <w:sz w:val="22"/>
          <w:szCs w:val="22"/>
        </w:rPr>
        <w:t xml:space="preserve">initiate a review of the regulations issued pursuant to sections 3633(a) and 3652(a)(1) of title 39, United States Code, to determine whether revisions are appropriate to ensure that all direct and indirect costs attributable to </w:t>
      </w:r>
      <w:r w:rsidR="007D392A" w:rsidRPr="008325CE">
        <w:rPr>
          <w:sz w:val="22"/>
          <w:szCs w:val="22"/>
        </w:rPr>
        <w:t>c</w:t>
      </w:r>
      <w:r w:rsidRPr="008325CE">
        <w:rPr>
          <w:sz w:val="22"/>
          <w:szCs w:val="22"/>
        </w:rPr>
        <w:t xml:space="preserve">ompetitive and </w:t>
      </w:r>
      <w:r w:rsidR="007D392A" w:rsidRPr="008325CE">
        <w:rPr>
          <w:sz w:val="22"/>
          <w:szCs w:val="22"/>
        </w:rPr>
        <w:t>m</w:t>
      </w:r>
      <w:r w:rsidRPr="008325CE">
        <w:rPr>
          <w:sz w:val="22"/>
          <w:szCs w:val="22"/>
        </w:rPr>
        <w:t>arket-</w:t>
      </w:r>
      <w:r w:rsidR="007D392A" w:rsidRPr="008325CE">
        <w:rPr>
          <w:sz w:val="22"/>
          <w:szCs w:val="22"/>
        </w:rPr>
        <w:t>d</w:t>
      </w:r>
      <w:r w:rsidRPr="008325CE">
        <w:rPr>
          <w:sz w:val="22"/>
          <w:szCs w:val="22"/>
        </w:rPr>
        <w:t>ominant products are properly attributed to those products, including by considering the underlying methodologies in determining cost attribution and considering options to revise such methodologies</w:t>
      </w:r>
      <w:r w:rsidR="00461EDD" w:rsidRPr="008325CE">
        <w:rPr>
          <w:sz w:val="22"/>
          <w:szCs w:val="22"/>
        </w:rPr>
        <w:t>.</w:t>
      </w:r>
    </w:p>
    <w:p w14:paraId="69609B17" w14:textId="77777777" w:rsidR="009E6653" w:rsidRDefault="009E6653" w:rsidP="006C79B2">
      <w:pPr>
        <w:spacing w:line="240" w:lineRule="auto"/>
        <w:ind w:firstLine="0"/>
      </w:pPr>
    </w:p>
    <w:p w14:paraId="6CD65840" w14:textId="6DAEE3A8" w:rsidR="00057CC0" w:rsidRPr="006620E8" w:rsidRDefault="0001049A" w:rsidP="008325CE">
      <w:pPr>
        <w:ind w:firstLine="0"/>
        <w:rPr>
          <w:i/>
          <w:iCs/>
        </w:rPr>
      </w:pPr>
      <w:r w:rsidRPr="006620E8">
        <w:t>PSRA</w:t>
      </w:r>
      <w:r w:rsidR="00461EDD" w:rsidRPr="006620E8">
        <w:t> §</w:t>
      </w:r>
      <w:r w:rsidR="00057CC0" w:rsidRPr="006620E8">
        <w:t xml:space="preserve"> 203. </w:t>
      </w:r>
      <w:r w:rsidR="004F4B31" w:rsidRPr="006620E8">
        <w:t xml:space="preserve"> </w:t>
      </w:r>
      <w:r w:rsidR="00461EDD" w:rsidRPr="006620E8">
        <w:t>Section 203</w:t>
      </w:r>
      <w:r w:rsidR="00057CC0" w:rsidRPr="006620E8">
        <w:t xml:space="preserve"> also specifies that, if</w:t>
      </w:r>
      <w:r w:rsidR="00615F99" w:rsidRPr="006620E8">
        <w:t>, after notice and public comment</w:t>
      </w:r>
      <w:r w:rsidR="00AC020B" w:rsidRPr="006620E8">
        <w:t>,</w:t>
      </w:r>
      <w:r w:rsidR="00057CC0" w:rsidRPr="006620E8">
        <w:t xml:space="preserve"> the Commission determines </w:t>
      </w:r>
      <w:r w:rsidR="00084750" w:rsidRPr="006620E8">
        <w:t>“</w:t>
      </w:r>
      <w:r w:rsidR="00057CC0" w:rsidRPr="006620E8">
        <w:t xml:space="preserve">that revisions are appropriate, the Commission shall make modifications or adopt alternative methodologies as necessary.”  </w:t>
      </w:r>
      <w:r w:rsidR="00057CC0" w:rsidRPr="006620E8">
        <w:rPr>
          <w:i/>
          <w:iCs/>
        </w:rPr>
        <w:t>See id.</w:t>
      </w:r>
    </w:p>
    <w:p w14:paraId="7321B29F" w14:textId="342E29E0" w:rsidR="00686589" w:rsidRPr="006620E8" w:rsidRDefault="00287B7A" w:rsidP="00084750">
      <w:pPr>
        <w:pStyle w:val="NormalLeft"/>
        <w:ind w:firstLine="720"/>
      </w:pPr>
      <w:r w:rsidRPr="006620E8">
        <w:t>R</w:t>
      </w:r>
      <w:r w:rsidR="00A01E97" w:rsidRPr="006620E8">
        <w:t>egulations issued pursuant to 39 U.S.C. §§</w:t>
      </w:r>
      <w:r w:rsidR="007C7CCF" w:rsidRPr="006620E8">
        <w:t> </w:t>
      </w:r>
      <w:r w:rsidR="00A01E97" w:rsidRPr="006620E8">
        <w:t>3633(a) and 3652(a)(1)</w:t>
      </w:r>
      <w:r w:rsidRPr="006620E8">
        <w:t xml:space="preserve"> that </w:t>
      </w:r>
      <w:r w:rsidR="00461EDD" w:rsidRPr="006620E8">
        <w:t>are relevant to postal cost attribution</w:t>
      </w:r>
      <w:r w:rsidR="00E32427" w:rsidRPr="006620E8">
        <w:t xml:space="preserve"> are listed</w:t>
      </w:r>
      <w:r w:rsidR="00A01E97" w:rsidRPr="006620E8">
        <w:t xml:space="preserve"> below in Table </w:t>
      </w:r>
      <w:r w:rsidR="00E32427" w:rsidRPr="006620E8">
        <w:t>II-1</w:t>
      </w:r>
      <w:r w:rsidR="00A01E97" w:rsidRPr="006620E8">
        <w:t>.</w:t>
      </w:r>
    </w:p>
    <w:p w14:paraId="69E98508" w14:textId="459CAB09" w:rsidR="00686589" w:rsidRDefault="00686589">
      <w:pPr>
        <w:spacing w:after="200" w:line="276" w:lineRule="auto"/>
        <w:ind w:firstLine="0"/>
        <w:rPr>
          <w:rFonts w:cs="Times New Roman"/>
          <w:bCs w:val="0"/>
          <w:iCs/>
          <w:kern w:val="0"/>
        </w:rPr>
      </w:pPr>
    </w:p>
    <w:p w14:paraId="0F7B2DB6" w14:textId="77777777" w:rsidR="00CD02AA" w:rsidRDefault="00CD02AA" w:rsidP="00A01E97">
      <w:pPr>
        <w:pStyle w:val="NormalLeft"/>
        <w:spacing w:line="240" w:lineRule="auto"/>
        <w:jc w:val="center"/>
        <w:rPr>
          <w:b/>
          <w:bCs/>
        </w:rPr>
        <w:sectPr w:rsidR="00CD02AA" w:rsidSect="00341F1D">
          <w:headerReference w:type="default" r:id="rId8"/>
          <w:headerReference w:type="first" r:id="rId9"/>
          <w:footerReference w:type="first" r:id="rId10"/>
          <w:pgSz w:w="12240" w:h="15840" w:code="1"/>
          <w:pgMar w:top="1440" w:right="1440" w:bottom="1440" w:left="1440" w:header="1440" w:footer="1440" w:gutter="0"/>
          <w:cols w:space="720"/>
          <w:titlePg/>
          <w:docGrid w:linePitch="360"/>
        </w:sectPr>
      </w:pPr>
    </w:p>
    <w:p w14:paraId="04D0057D" w14:textId="5D2A5D73" w:rsidR="00A01E97" w:rsidRPr="00A01E97" w:rsidRDefault="00A01E97" w:rsidP="00A01E97">
      <w:pPr>
        <w:pStyle w:val="NormalLeft"/>
        <w:spacing w:line="240" w:lineRule="auto"/>
        <w:jc w:val="center"/>
        <w:rPr>
          <w:b/>
          <w:bCs/>
        </w:rPr>
      </w:pPr>
      <w:r w:rsidRPr="00A01E97">
        <w:rPr>
          <w:b/>
          <w:bCs/>
        </w:rPr>
        <w:lastRenderedPageBreak/>
        <w:t xml:space="preserve">Table </w:t>
      </w:r>
      <w:r w:rsidR="00502A40">
        <w:rPr>
          <w:b/>
          <w:bCs/>
        </w:rPr>
        <w:t>II-1</w:t>
      </w:r>
    </w:p>
    <w:p w14:paraId="6CA00C66" w14:textId="6F1E9F3E" w:rsidR="00A01E97" w:rsidRDefault="00A01E97" w:rsidP="00A01E97">
      <w:pPr>
        <w:pStyle w:val="NormalLeft"/>
        <w:spacing w:line="240" w:lineRule="auto"/>
        <w:jc w:val="center"/>
        <w:rPr>
          <w:b/>
          <w:bCs/>
        </w:rPr>
      </w:pPr>
      <w:r w:rsidRPr="00A01E97">
        <w:rPr>
          <w:b/>
          <w:bCs/>
        </w:rPr>
        <w:t>Regulations Issued Pursuant to 39 U.S.C. §§ 3633(a) and 3652(a)(1)</w:t>
      </w:r>
    </w:p>
    <w:p w14:paraId="4F668DD9" w14:textId="77777777" w:rsidR="00A01E97" w:rsidRPr="00A01E97" w:rsidRDefault="00A01E97" w:rsidP="00A01E97">
      <w:pPr>
        <w:pStyle w:val="NormalLeft"/>
        <w:spacing w:line="240" w:lineRule="auto"/>
        <w:jc w:val="center"/>
        <w:rPr>
          <w:b/>
          <w:bCs/>
        </w:rPr>
      </w:pPr>
    </w:p>
    <w:tbl>
      <w:tblPr>
        <w:tblStyle w:val="TableGridLight"/>
        <w:tblW w:w="0" w:type="auto"/>
        <w:tblLook w:val="04A0" w:firstRow="1" w:lastRow="0" w:firstColumn="1" w:lastColumn="0" w:noHBand="0" w:noVBand="1"/>
      </w:tblPr>
      <w:tblGrid>
        <w:gridCol w:w="1747"/>
        <w:gridCol w:w="11203"/>
      </w:tblGrid>
      <w:tr w:rsidR="005267C0" w14:paraId="0DAF03E5" w14:textId="77777777" w:rsidTr="003916BB">
        <w:tc>
          <w:tcPr>
            <w:tcW w:w="0" w:type="auto"/>
            <w:gridSpan w:val="2"/>
            <w:shd w:val="clear" w:color="auto" w:fill="4F81BD" w:themeFill="accent1"/>
          </w:tcPr>
          <w:p w14:paraId="2611A336" w14:textId="5661AD7E" w:rsidR="005267C0" w:rsidRPr="00FC5C15" w:rsidRDefault="005267C0" w:rsidP="005C19BB">
            <w:pPr>
              <w:pStyle w:val="NormalLeft"/>
              <w:spacing w:before="120" w:after="120" w:line="240" w:lineRule="auto"/>
              <w:jc w:val="center"/>
              <w:rPr>
                <w:b/>
                <w:bCs/>
                <w:color w:val="FFFFFF" w:themeColor="background1"/>
                <w:sz w:val="20"/>
                <w:szCs w:val="20"/>
              </w:rPr>
            </w:pPr>
            <w:r w:rsidRPr="00FC5C15">
              <w:rPr>
                <w:b/>
                <w:bCs/>
                <w:color w:val="FFFFFF" w:themeColor="background1"/>
                <w:sz w:val="20"/>
                <w:szCs w:val="20"/>
              </w:rPr>
              <w:t>39 C.F.R. Part 3035—Regulation of Rates for Competitive Products</w:t>
            </w:r>
            <w:r w:rsidR="00A9333E" w:rsidRPr="00FC5C15">
              <w:rPr>
                <w:rStyle w:val="FootnoteReference"/>
                <w:color w:val="FFFFFF" w:themeColor="background1"/>
                <w:sz w:val="20"/>
                <w:szCs w:val="20"/>
              </w:rPr>
              <w:footnoteReference w:id="4"/>
            </w:r>
          </w:p>
        </w:tc>
      </w:tr>
      <w:tr w:rsidR="00555C89" w14:paraId="5AC21E27" w14:textId="77777777" w:rsidTr="00954529">
        <w:tc>
          <w:tcPr>
            <w:tcW w:w="0" w:type="auto"/>
          </w:tcPr>
          <w:p w14:paraId="192573EE" w14:textId="7D4F2223" w:rsidR="00555C89" w:rsidRPr="006620E8" w:rsidRDefault="00555C89" w:rsidP="005C19BB">
            <w:pPr>
              <w:pStyle w:val="NormalLeft"/>
              <w:spacing w:before="120" w:after="120" w:line="240" w:lineRule="auto"/>
              <w:rPr>
                <w:sz w:val="20"/>
                <w:szCs w:val="20"/>
              </w:rPr>
            </w:pPr>
            <w:r w:rsidRPr="006620E8">
              <w:rPr>
                <w:sz w:val="20"/>
                <w:szCs w:val="20"/>
              </w:rPr>
              <w:t>39 C.F.R. § 3035.107(a)</w:t>
            </w:r>
          </w:p>
        </w:tc>
        <w:tc>
          <w:tcPr>
            <w:tcW w:w="0" w:type="auto"/>
          </w:tcPr>
          <w:p w14:paraId="4CDD2430" w14:textId="2D9665DC" w:rsidR="00555C89" w:rsidRPr="006620E8" w:rsidRDefault="004449B1" w:rsidP="009858D0">
            <w:pPr>
              <w:pStyle w:val="NormalLeft"/>
              <w:numPr>
                <w:ilvl w:val="0"/>
                <w:numId w:val="19"/>
              </w:numPr>
              <w:spacing w:before="120" w:after="120" w:line="240" w:lineRule="auto"/>
              <w:rPr>
                <w:sz w:val="20"/>
                <w:szCs w:val="20"/>
              </w:rPr>
            </w:pPr>
            <w:r w:rsidRPr="006620E8">
              <w:rPr>
                <w:sz w:val="20"/>
                <w:szCs w:val="20"/>
              </w:rPr>
              <w:t xml:space="preserve">Providing </w:t>
            </w:r>
            <w:r w:rsidR="009B76BD" w:rsidRPr="006620E8">
              <w:rPr>
                <w:sz w:val="20"/>
                <w:szCs w:val="20"/>
              </w:rPr>
              <w:t xml:space="preserve">that </w:t>
            </w:r>
            <w:r w:rsidR="00F8193D" w:rsidRPr="006620E8">
              <w:rPr>
                <w:sz w:val="20"/>
                <w:szCs w:val="20"/>
              </w:rPr>
              <w:t xml:space="preserve">the Commission will use </w:t>
            </w:r>
            <w:r w:rsidR="009B76BD" w:rsidRPr="006620E8">
              <w:rPr>
                <w:sz w:val="20"/>
                <w:szCs w:val="20"/>
              </w:rPr>
              <w:t>incremental costs to test for cross-subsidization of Competitive products by Market Dominant products</w:t>
            </w:r>
            <w:r w:rsidR="00A03F47" w:rsidRPr="006620E8">
              <w:rPr>
                <w:sz w:val="20"/>
                <w:szCs w:val="20"/>
              </w:rPr>
              <w:t>.</w:t>
            </w:r>
            <w:r w:rsidR="009B76BD" w:rsidRPr="006620E8">
              <w:rPr>
                <w:sz w:val="20"/>
                <w:szCs w:val="20"/>
              </w:rPr>
              <w:t xml:space="preserve"> </w:t>
            </w:r>
            <w:r w:rsidR="00A03F47" w:rsidRPr="006620E8">
              <w:rPr>
                <w:sz w:val="20"/>
                <w:szCs w:val="20"/>
              </w:rPr>
              <w:t xml:space="preserve"> </w:t>
            </w:r>
            <w:r w:rsidR="00A03F47" w:rsidRPr="006620E8">
              <w:rPr>
                <w:i/>
                <w:iCs w:val="0"/>
                <w:sz w:val="20"/>
                <w:szCs w:val="20"/>
              </w:rPr>
              <w:t>S</w:t>
            </w:r>
            <w:r w:rsidR="009B76BD" w:rsidRPr="006620E8">
              <w:rPr>
                <w:i/>
                <w:iCs w:val="0"/>
                <w:sz w:val="20"/>
                <w:szCs w:val="20"/>
              </w:rPr>
              <w:t xml:space="preserve">ee </w:t>
            </w:r>
            <w:r w:rsidR="009B76BD" w:rsidRPr="006620E8">
              <w:rPr>
                <w:sz w:val="20"/>
                <w:szCs w:val="20"/>
              </w:rPr>
              <w:t>39 U.S.C.</w:t>
            </w:r>
            <w:r w:rsidR="004008AB" w:rsidRPr="006620E8">
              <w:rPr>
                <w:sz w:val="20"/>
                <w:szCs w:val="20"/>
              </w:rPr>
              <w:t xml:space="preserve"> § 3633(a)(1)</w:t>
            </w:r>
            <w:r w:rsidR="00F42386" w:rsidRPr="006620E8">
              <w:rPr>
                <w:sz w:val="20"/>
                <w:szCs w:val="20"/>
              </w:rPr>
              <w:t xml:space="preserve"> (requiring that the Commission “prohibit the subsidization </w:t>
            </w:r>
            <w:r w:rsidR="00FB3D62" w:rsidRPr="006620E8">
              <w:rPr>
                <w:sz w:val="20"/>
                <w:szCs w:val="20"/>
              </w:rPr>
              <w:t>of competitive products by market-dominant products”).</w:t>
            </w:r>
          </w:p>
        </w:tc>
      </w:tr>
      <w:tr w:rsidR="00DA06BA" w14:paraId="7D2A8AEF" w14:textId="77777777" w:rsidTr="00176F73">
        <w:tc>
          <w:tcPr>
            <w:tcW w:w="0" w:type="auto"/>
            <w:tcBorders>
              <w:bottom w:val="single" w:sz="4" w:space="0" w:color="BFBFBF" w:themeColor="background1" w:themeShade="BF"/>
            </w:tcBorders>
          </w:tcPr>
          <w:p w14:paraId="0E35214A" w14:textId="37586D30" w:rsidR="00DA06BA" w:rsidRPr="006620E8" w:rsidRDefault="005267C0" w:rsidP="005C19BB">
            <w:pPr>
              <w:pStyle w:val="NormalLeft"/>
              <w:spacing w:before="120" w:after="120" w:line="240" w:lineRule="auto"/>
              <w:rPr>
                <w:sz w:val="20"/>
                <w:szCs w:val="20"/>
              </w:rPr>
            </w:pPr>
            <w:r w:rsidRPr="006620E8">
              <w:rPr>
                <w:sz w:val="20"/>
                <w:szCs w:val="20"/>
              </w:rPr>
              <w:t>39 C.F.R. § 3035.107(b)</w:t>
            </w:r>
          </w:p>
        </w:tc>
        <w:tc>
          <w:tcPr>
            <w:tcW w:w="0" w:type="auto"/>
            <w:tcBorders>
              <w:bottom w:val="single" w:sz="4" w:space="0" w:color="BFBFBF" w:themeColor="background1" w:themeShade="BF"/>
            </w:tcBorders>
          </w:tcPr>
          <w:p w14:paraId="274AD718" w14:textId="687748FC" w:rsidR="00DA06BA" w:rsidRPr="006620E8" w:rsidRDefault="00E01EB5" w:rsidP="009858D0">
            <w:pPr>
              <w:pStyle w:val="NormalLeft"/>
              <w:numPr>
                <w:ilvl w:val="0"/>
                <w:numId w:val="19"/>
              </w:numPr>
              <w:spacing w:before="120" w:after="120" w:line="240" w:lineRule="auto"/>
              <w:rPr>
                <w:sz w:val="20"/>
                <w:szCs w:val="20"/>
              </w:rPr>
            </w:pPr>
            <w:r w:rsidRPr="006620E8">
              <w:rPr>
                <w:sz w:val="20"/>
                <w:szCs w:val="20"/>
              </w:rPr>
              <w:t>Providing that</w:t>
            </w:r>
            <w:r w:rsidR="00B369B3" w:rsidRPr="006620E8">
              <w:rPr>
                <w:sz w:val="20"/>
                <w:szCs w:val="20"/>
              </w:rPr>
              <w:t xml:space="preserve"> the Commission will calculate a </w:t>
            </w:r>
            <w:r w:rsidR="00A461D5" w:rsidRPr="006620E8">
              <w:rPr>
                <w:sz w:val="20"/>
                <w:szCs w:val="20"/>
              </w:rPr>
              <w:t>C</w:t>
            </w:r>
            <w:r w:rsidR="00B369B3" w:rsidRPr="006620E8">
              <w:rPr>
                <w:sz w:val="20"/>
                <w:szCs w:val="20"/>
              </w:rPr>
              <w:t>ompetitive product</w:t>
            </w:r>
            <w:r w:rsidR="00A84471">
              <w:rPr>
                <w:sz w:val="20"/>
                <w:szCs w:val="20"/>
              </w:rPr>
              <w:t>’</w:t>
            </w:r>
            <w:r w:rsidR="00B369B3" w:rsidRPr="006620E8">
              <w:rPr>
                <w:sz w:val="20"/>
                <w:szCs w:val="20"/>
              </w:rPr>
              <w:t xml:space="preserve">s attributable costs as the sum of its volume-variable costs, product-specific costs, and those inframarginal costs calculated as part of a </w:t>
            </w:r>
            <w:r w:rsidR="00F44322" w:rsidRPr="006620E8">
              <w:rPr>
                <w:sz w:val="20"/>
                <w:szCs w:val="20"/>
              </w:rPr>
              <w:t>C</w:t>
            </w:r>
            <w:r w:rsidR="00B369B3" w:rsidRPr="006620E8">
              <w:rPr>
                <w:sz w:val="20"/>
                <w:szCs w:val="20"/>
              </w:rPr>
              <w:t>ompetitive product's incremental costs.</w:t>
            </w:r>
            <w:r w:rsidR="00DD2C28" w:rsidRPr="006620E8">
              <w:rPr>
                <w:sz w:val="20"/>
                <w:szCs w:val="20"/>
              </w:rPr>
              <w:t xml:space="preserve">  </w:t>
            </w:r>
            <w:r w:rsidR="00DD2C28" w:rsidRPr="006620E8">
              <w:rPr>
                <w:i/>
                <w:iCs w:val="0"/>
                <w:sz w:val="20"/>
                <w:szCs w:val="20"/>
              </w:rPr>
              <w:t xml:space="preserve">See </w:t>
            </w:r>
            <w:r w:rsidR="00DD2C28" w:rsidRPr="006620E8">
              <w:rPr>
                <w:sz w:val="20"/>
                <w:szCs w:val="20"/>
              </w:rPr>
              <w:t xml:space="preserve">39 U.S.C. </w:t>
            </w:r>
            <w:r w:rsidR="00A03F47" w:rsidRPr="006620E8">
              <w:rPr>
                <w:sz w:val="20"/>
                <w:szCs w:val="20"/>
              </w:rPr>
              <w:t>§ 3633(a)(2)</w:t>
            </w:r>
            <w:r w:rsidR="00FB3D62" w:rsidRPr="006620E8">
              <w:rPr>
                <w:sz w:val="20"/>
                <w:szCs w:val="20"/>
              </w:rPr>
              <w:t xml:space="preserve"> (requiring that the Commission “ensure </w:t>
            </w:r>
            <w:r w:rsidR="001747B2" w:rsidRPr="006620E8">
              <w:rPr>
                <w:sz w:val="20"/>
                <w:szCs w:val="20"/>
              </w:rPr>
              <w:t>that each competitive product covers its costs attributable</w:t>
            </w:r>
            <w:r w:rsidR="00F8193D" w:rsidRPr="006620E8">
              <w:rPr>
                <w:sz w:val="20"/>
                <w:szCs w:val="20"/>
              </w:rPr>
              <w:t>”)</w:t>
            </w:r>
            <w:r w:rsidR="006C4372" w:rsidRPr="006620E8">
              <w:rPr>
                <w:sz w:val="20"/>
                <w:szCs w:val="20"/>
              </w:rPr>
              <w:t xml:space="preserve">; </w:t>
            </w:r>
            <w:r w:rsidR="006C4372" w:rsidRPr="006620E8">
              <w:rPr>
                <w:i/>
                <w:iCs w:val="0"/>
                <w:sz w:val="20"/>
                <w:szCs w:val="20"/>
              </w:rPr>
              <w:t xml:space="preserve">see also </w:t>
            </w:r>
            <w:r w:rsidR="006C4372" w:rsidRPr="006620E8">
              <w:rPr>
                <w:sz w:val="20"/>
                <w:szCs w:val="20"/>
              </w:rPr>
              <w:t>39 U.S.C. § 3631(b) (defining “costs attributable” as “</w:t>
            </w:r>
            <w:r w:rsidR="00A8487F" w:rsidRPr="006620E8">
              <w:rPr>
                <w:sz w:val="20"/>
                <w:szCs w:val="20"/>
              </w:rPr>
              <w:t>the direct and indirect postal costs attributable to such product through reliably identified causal relationships</w:t>
            </w:r>
            <w:r w:rsidR="00F44322" w:rsidRPr="006620E8">
              <w:rPr>
                <w:sz w:val="20"/>
                <w:szCs w:val="20"/>
              </w:rPr>
              <w:t>”).</w:t>
            </w:r>
          </w:p>
        </w:tc>
      </w:tr>
    </w:tbl>
    <w:p w14:paraId="0A73AA6D" w14:textId="77777777" w:rsidR="009A10DB" w:rsidRDefault="009A10DB">
      <w:r>
        <w:rPr>
          <w:bCs w:val="0"/>
          <w:iCs/>
        </w:rPr>
        <w:br w:type="page"/>
      </w:r>
    </w:p>
    <w:tbl>
      <w:tblPr>
        <w:tblStyle w:val="TableGridLight"/>
        <w:tblW w:w="0" w:type="auto"/>
        <w:tblLook w:val="04A0" w:firstRow="1" w:lastRow="0" w:firstColumn="1" w:lastColumn="0" w:noHBand="0" w:noVBand="1"/>
      </w:tblPr>
      <w:tblGrid>
        <w:gridCol w:w="1973"/>
        <w:gridCol w:w="10977"/>
      </w:tblGrid>
      <w:tr w:rsidR="00E228ED" w14:paraId="1FABA581" w14:textId="10133C00" w:rsidTr="00FD49D3">
        <w:tc>
          <w:tcPr>
            <w:tcW w:w="0" w:type="auto"/>
            <w:gridSpan w:val="2"/>
            <w:tcBorders>
              <w:top w:val="nil"/>
            </w:tcBorders>
            <w:shd w:val="clear" w:color="auto" w:fill="4F81BD" w:themeFill="accent1"/>
          </w:tcPr>
          <w:p w14:paraId="16719D49" w14:textId="0AEF0EB0" w:rsidR="00E228ED" w:rsidRPr="00FC5C15" w:rsidRDefault="00E228ED" w:rsidP="00E228ED">
            <w:pPr>
              <w:pStyle w:val="NormalLeft"/>
              <w:spacing w:before="120" w:after="120" w:line="240" w:lineRule="auto"/>
              <w:ind w:left="360"/>
              <w:jc w:val="center"/>
              <w:rPr>
                <w:b/>
                <w:bCs/>
                <w:color w:val="FFFFFF" w:themeColor="background1"/>
                <w:sz w:val="20"/>
                <w:szCs w:val="20"/>
              </w:rPr>
            </w:pPr>
            <w:r w:rsidRPr="00FC5C15">
              <w:rPr>
                <w:b/>
                <w:bCs/>
                <w:color w:val="FFFFFF" w:themeColor="background1"/>
                <w:sz w:val="20"/>
                <w:szCs w:val="20"/>
              </w:rPr>
              <w:lastRenderedPageBreak/>
              <w:t>39 C.F.R. Part 3050—Periodic Reporting</w:t>
            </w:r>
          </w:p>
        </w:tc>
      </w:tr>
      <w:tr w:rsidR="00E228ED" w14:paraId="0D9AF621" w14:textId="078739C7" w:rsidTr="00954529">
        <w:tc>
          <w:tcPr>
            <w:tcW w:w="0" w:type="auto"/>
          </w:tcPr>
          <w:p w14:paraId="71CE42C1" w14:textId="66BFE7FC" w:rsidR="00E228ED" w:rsidRPr="00FC5C15" w:rsidRDefault="00E228ED" w:rsidP="00E228ED">
            <w:pPr>
              <w:pStyle w:val="NormalLeft"/>
              <w:spacing w:before="120" w:after="120" w:line="240" w:lineRule="auto"/>
              <w:rPr>
                <w:sz w:val="20"/>
                <w:szCs w:val="20"/>
              </w:rPr>
            </w:pPr>
            <w:r w:rsidRPr="00FC5C15">
              <w:rPr>
                <w:sz w:val="20"/>
                <w:szCs w:val="20"/>
              </w:rPr>
              <w:t>39 C.F.R. § 3050.21(c)</w:t>
            </w:r>
          </w:p>
        </w:tc>
        <w:tc>
          <w:tcPr>
            <w:tcW w:w="0" w:type="auto"/>
          </w:tcPr>
          <w:p w14:paraId="10E3C8CC" w14:textId="4E80E378"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Postal Service’s section 3652 report include the attributable costs of each postal product</w:t>
            </w:r>
          </w:p>
        </w:tc>
      </w:tr>
      <w:tr w:rsidR="00E228ED" w14:paraId="60CF7BE7" w14:textId="05299483" w:rsidTr="003001BF">
        <w:tc>
          <w:tcPr>
            <w:tcW w:w="0" w:type="auto"/>
            <w:shd w:val="clear" w:color="auto" w:fill="DBE5F1" w:themeFill="accent1" w:themeFillTint="33"/>
          </w:tcPr>
          <w:p w14:paraId="50FFFF78" w14:textId="0E2E2E28" w:rsidR="00E228ED" w:rsidRPr="00FC5C15" w:rsidRDefault="00E228ED" w:rsidP="00E228ED">
            <w:pPr>
              <w:pStyle w:val="NormalLeft"/>
              <w:spacing w:before="120" w:after="120" w:line="240" w:lineRule="auto"/>
              <w:rPr>
                <w:sz w:val="20"/>
                <w:szCs w:val="20"/>
              </w:rPr>
            </w:pPr>
            <w:r w:rsidRPr="00FC5C15">
              <w:rPr>
                <w:sz w:val="20"/>
                <w:szCs w:val="20"/>
              </w:rPr>
              <w:t xml:space="preserve">39 C.F.R. § 3050.21(f)(2) </w:t>
            </w:r>
          </w:p>
        </w:tc>
        <w:tc>
          <w:tcPr>
            <w:tcW w:w="0" w:type="auto"/>
            <w:shd w:val="clear" w:color="auto" w:fill="DBE5F1" w:themeFill="accent1" w:themeFillTint="33"/>
          </w:tcPr>
          <w:p w14:paraId="07F86F38" w14:textId="0D4B48FC"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Postal Service’s section 3652 report estimate the costs of each Market Dominant negotiated service agreement</w:t>
            </w:r>
          </w:p>
        </w:tc>
      </w:tr>
      <w:tr w:rsidR="00E228ED" w14:paraId="17C8967A" w14:textId="772A022F" w:rsidTr="00954529">
        <w:tc>
          <w:tcPr>
            <w:tcW w:w="0" w:type="auto"/>
          </w:tcPr>
          <w:p w14:paraId="3B9DEED5" w14:textId="24041F7D" w:rsidR="00E228ED" w:rsidRPr="00FC5C15" w:rsidRDefault="00E228ED" w:rsidP="00E228ED">
            <w:pPr>
              <w:pStyle w:val="NormalLeft"/>
              <w:spacing w:before="120" w:after="120" w:line="240" w:lineRule="auto"/>
              <w:rPr>
                <w:sz w:val="20"/>
                <w:szCs w:val="20"/>
              </w:rPr>
            </w:pPr>
            <w:r w:rsidRPr="00FC5C15">
              <w:rPr>
                <w:sz w:val="20"/>
                <w:szCs w:val="20"/>
              </w:rPr>
              <w:t>39 C.F.R. § 3050.21(g)(2)</w:t>
            </w:r>
          </w:p>
        </w:tc>
        <w:tc>
          <w:tcPr>
            <w:tcW w:w="0" w:type="auto"/>
          </w:tcPr>
          <w:p w14:paraId="34E0311B" w14:textId="1B474F97"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Postal Service’s section 3652 report estimate the costs of each Competitive negotiated service agreement</w:t>
            </w:r>
          </w:p>
        </w:tc>
      </w:tr>
      <w:tr w:rsidR="00E228ED" w14:paraId="234DC354" w14:textId="15E4761F" w:rsidTr="003001BF">
        <w:tc>
          <w:tcPr>
            <w:tcW w:w="0" w:type="auto"/>
            <w:shd w:val="clear" w:color="auto" w:fill="DBE5F1" w:themeFill="accent1" w:themeFillTint="33"/>
          </w:tcPr>
          <w:p w14:paraId="262A29CE" w14:textId="79270C9D" w:rsidR="00E228ED" w:rsidRPr="00FC5C15" w:rsidRDefault="00E228ED" w:rsidP="00E228ED">
            <w:pPr>
              <w:pStyle w:val="NormalLeft"/>
              <w:spacing w:before="120" w:after="120" w:line="240" w:lineRule="auto"/>
              <w:rPr>
                <w:sz w:val="20"/>
                <w:szCs w:val="20"/>
              </w:rPr>
            </w:pPr>
            <w:r w:rsidRPr="00FC5C15">
              <w:rPr>
                <w:sz w:val="20"/>
                <w:szCs w:val="20"/>
              </w:rPr>
              <w:t>39 C.F.R. § 3050.21(h)(1)</w:t>
            </w:r>
          </w:p>
        </w:tc>
        <w:tc>
          <w:tcPr>
            <w:tcW w:w="0" w:type="auto"/>
            <w:shd w:val="clear" w:color="auto" w:fill="DBE5F1" w:themeFill="accent1" w:themeFillTint="33"/>
          </w:tcPr>
          <w:p w14:paraId="3A928D91" w14:textId="0669C039"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Postal Service’s section 3652 report estimate the costs of each market test of an experimental product</w:t>
            </w:r>
          </w:p>
        </w:tc>
      </w:tr>
      <w:tr w:rsidR="00E228ED" w14:paraId="326BFAA8" w14:textId="6A62D2D0" w:rsidTr="00954529">
        <w:tc>
          <w:tcPr>
            <w:tcW w:w="0" w:type="auto"/>
          </w:tcPr>
          <w:p w14:paraId="796D3889" w14:textId="67DCAFA7" w:rsidR="00E228ED" w:rsidRPr="00FC5C15" w:rsidRDefault="00E228ED" w:rsidP="00E228ED">
            <w:pPr>
              <w:pStyle w:val="NormalLeft"/>
              <w:spacing w:before="120" w:after="120" w:line="240" w:lineRule="auto"/>
              <w:rPr>
                <w:sz w:val="20"/>
                <w:szCs w:val="20"/>
              </w:rPr>
            </w:pPr>
            <w:r w:rsidRPr="00FC5C15">
              <w:rPr>
                <w:sz w:val="20"/>
                <w:szCs w:val="20"/>
              </w:rPr>
              <w:t>39 C.F.R. § 3050.21(i)</w:t>
            </w:r>
          </w:p>
        </w:tc>
        <w:tc>
          <w:tcPr>
            <w:tcW w:w="0" w:type="auto"/>
          </w:tcPr>
          <w:p w14:paraId="6E1EE60A" w14:textId="68A48BB2"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the Postal Service’s section 3652 report estimate the costs of each </w:t>
            </w:r>
            <w:proofErr w:type="spellStart"/>
            <w:r w:rsidRPr="00FC5C15">
              <w:rPr>
                <w:sz w:val="20"/>
                <w:szCs w:val="20"/>
              </w:rPr>
              <w:t>nonpostal</w:t>
            </w:r>
            <w:proofErr w:type="spellEnd"/>
            <w:r w:rsidRPr="00FC5C15">
              <w:rPr>
                <w:sz w:val="20"/>
                <w:szCs w:val="20"/>
              </w:rPr>
              <w:t xml:space="preserve"> service</w:t>
            </w:r>
          </w:p>
        </w:tc>
      </w:tr>
      <w:tr w:rsidR="00E228ED" w14:paraId="4ECAF3A8" w14:textId="5443E8DE" w:rsidTr="003001BF">
        <w:tc>
          <w:tcPr>
            <w:tcW w:w="0" w:type="auto"/>
            <w:shd w:val="clear" w:color="auto" w:fill="DBE5F1" w:themeFill="accent1" w:themeFillTint="33"/>
          </w:tcPr>
          <w:p w14:paraId="7AEAD9A3" w14:textId="3394ADBD" w:rsidR="00E228ED" w:rsidRPr="00FC5C15" w:rsidRDefault="00E228ED" w:rsidP="00E228ED">
            <w:pPr>
              <w:pStyle w:val="NormalLeft"/>
              <w:spacing w:before="120" w:after="120" w:line="240" w:lineRule="auto"/>
              <w:rPr>
                <w:sz w:val="20"/>
                <w:szCs w:val="20"/>
              </w:rPr>
            </w:pPr>
            <w:r w:rsidRPr="00FC5C15">
              <w:rPr>
                <w:sz w:val="20"/>
                <w:szCs w:val="20"/>
              </w:rPr>
              <w:t>39 C.F.R. § 3050.21(l)</w:t>
            </w:r>
          </w:p>
        </w:tc>
        <w:tc>
          <w:tcPr>
            <w:tcW w:w="0" w:type="auto"/>
            <w:shd w:val="clear" w:color="auto" w:fill="DBE5F1" w:themeFill="accent1" w:themeFillTint="33"/>
          </w:tcPr>
          <w:p w14:paraId="1EAC3070" w14:textId="7C0856BF"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Postal Service’s section 3652 report, with respect to the Inbound Letter Post product, provide attributable cost by Universal Postal Union country group and by shape for the fiscal year subject to review and each of the preceding 4 fiscal years</w:t>
            </w:r>
          </w:p>
        </w:tc>
      </w:tr>
      <w:tr w:rsidR="00E228ED" w14:paraId="1359561F" w14:textId="148CC6F0" w:rsidTr="00954529">
        <w:tc>
          <w:tcPr>
            <w:tcW w:w="0" w:type="auto"/>
          </w:tcPr>
          <w:p w14:paraId="5384DC82" w14:textId="639A6E87" w:rsidR="00E228ED" w:rsidRPr="00FC5C15" w:rsidRDefault="00E228ED" w:rsidP="00E228ED">
            <w:pPr>
              <w:pStyle w:val="NormalLeft"/>
              <w:spacing w:before="120" w:after="120" w:line="240" w:lineRule="auto"/>
              <w:rPr>
                <w:sz w:val="20"/>
                <w:szCs w:val="20"/>
              </w:rPr>
            </w:pPr>
            <w:r w:rsidRPr="00FC5C15">
              <w:rPr>
                <w:sz w:val="20"/>
                <w:szCs w:val="20"/>
              </w:rPr>
              <w:t>39 C.F.R. § 3050.22</w:t>
            </w:r>
          </w:p>
        </w:tc>
        <w:tc>
          <w:tcPr>
            <w:tcW w:w="0" w:type="auto"/>
          </w:tcPr>
          <w:p w14:paraId="2B0C5659" w14:textId="3CFEF8D2"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 xml:space="preserve">Postal Service’s section 3652 report include certain specified documentation supporting attributable cost estimates whenever information has changed since the most recent </w:t>
            </w:r>
            <w:r w:rsidRPr="005277C3">
              <w:rPr>
                <w:i/>
                <w:iCs w:val="0"/>
                <w:sz w:val="20"/>
                <w:szCs w:val="20"/>
              </w:rPr>
              <w:t>Annual Compliance Determination</w:t>
            </w:r>
          </w:p>
        </w:tc>
      </w:tr>
      <w:tr w:rsidR="00E228ED" w14:paraId="20DEAEA4" w14:textId="460C5D0E" w:rsidTr="003001BF">
        <w:tc>
          <w:tcPr>
            <w:tcW w:w="0" w:type="auto"/>
            <w:tcBorders>
              <w:bottom w:val="single" w:sz="4" w:space="0" w:color="BFBFBF" w:themeColor="background1" w:themeShade="BF"/>
            </w:tcBorders>
            <w:shd w:val="clear" w:color="auto" w:fill="DBE5F1" w:themeFill="accent1" w:themeFillTint="33"/>
          </w:tcPr>
          <w:p w14:paraId="0BE126C4" w14:textId="03A536D1" w:rsidR="00E228ED" w:rsidRPr="00FC5C15" w:rsidRDefault="00E228ED" w:rsidP="00E228ED">
            <w:pPr>
              <w:pStyle w:val="NormalLeft"/>
              <w:spacing w:before="120" w:after="120" w:line="240" w:lineRule="auto"/>
              <w:rPr>
                <w:sz w:val="20"/>
                <w:szCs w:val="20"/>
              </w:rPr>
            </w:pPr>
            <w:r w:rsidRPr="00FC5C15">
              <w:rPr>
                <w:sz w:val="20"/>
                <w:szCs w:val="20"/>
              </w:rPr>
              <w:t>39 C.F.R. § 3050.23</w:t>
            </w:r>
          </w:p>
        </w:tc>
        <w:tc>
          <w:tcPr>
            <w:tcW w:w="0" w:type="auto"/>
            <w:tcBorders>
              <w:bottom w:val="single" w:sz="4" w:space="0" w:color="BFBFBF" w:themeColor="background1" w:themeShade="BF"/>
            </w:tcBorders>
            <w:shd w:val="clear" w:color="auto" w:fill="DBE5F1" w:themeFill="accent1" w:themeFillTint="33"/>
          </w:tcPr>
          <w:p w14:paraId="5798ED91" w14:textId="63F66AA5" w:rsidR="00E228ED" w:rsidRPr="00FC5C15" w:rsidRDefault="00E228ED" w:rsidP="009858D0">
            <w:pPr>
              <w:pStyle w:val="NormalLeft"/>
              <w:numPr>
                <w:ilvl w:val="0"/>
                <w:numId w:val="18"/>
              </w:numPr>
              <w:spacing w:before="120" w:after="120" w:line="240" w:lineRule="auto"/>
              <w:rPr>
                <w:sz w:val="20"/>
                <w:szCs w:val="20"/>
              </w:rPr>
            </w:pPr>
            <w:r w:rsidRPr="00FC5C15">
              <w:rPr>
                <w:sz w:val="20"/>
                <w:szCs w:val="20"/>
              </w:rPr>
              <w:t xml:space="preserve">Requirement that </w:t>
            </w:r>
            <w:r w:rsidR="00134BEB">
              <w:rPr>
                <w:sz w:val="20"/>
                <w:szCs w:val="20"/>
              </w:rPr>
              <w:t xml:space="preserve">the </w:t>
            </w:r>
            <w:r w:rsidRPr="00FC5C15">
              <w:rPr>
                <w:sz w:val="20"/>
                <w:szCs w:val="20"/>
              </w:rPr>
              <w:t>Postal Service’s section 3652 report include certain specified documentation supporting incremental cost estimates</w:t>
            </w:r>
          </w:p>
        </w:tc>
      </w:tr>
    </w:tbl>
    <w:p w14:paraId="5CBD62AB" w14:textId="77777777" w:rsidR="00796953" w:rsidRDefault="00796953">
      <w:r>
        <w:rPr>
          <w:bCs w:val="0"/>
          <w:iCs/>
        </w:rPr>
        <w:br w:type="page"/>
      </w:r>
    </w:p>
    <w:tbl>
      <w:tblPr>
        <w:tblStyle w:val="TableGridLight"/>
        <w:tblW w:w="12955" w:type="dxa"/>
        <w:tblLook w:val="04A0" w:firstRow="1" w:lastRow="0" w:firstColumn="1" w:lastColumn="0" w:noHBand="0" w:noVBand="1"/>
      </w:tblPr>
      <w:tblGrid>
        <w:gridCol w:w="1642"/>
        <w:gridCol w:w="11313"/>
      </w:tblGrid>
      <w:tr w:rsidR="00E228ED" w14:paraId="376301F3" w14:textId="77777777" w:rsidTr="00796953">
        <w:tc>
          <w:tcPr>
            <w:tcW w:w="0" w:type="auto"/>
            <w:gridSpan w:val="2"/>
            <w:tcBorders>
              <w:top w:val="nil"/>
            </w:tcBorders>
            <w:shd w:val="clear" w:color="auto" w:fill="4F81BD" w:themeFill="accent1"/>
          </w:tcPr>
          <w:p w14:paraId="6F9EBA6E" w14:textId="3D4E4E13" w:rsidR="00E228ED" w:rsidRPr="00FC5C15" w:rsidRDefault="00E228ED" w:rsidP="00E228ED">
            <w:pPr>
              <w:pStyle w:val="NormalLeft"/>
              <w:spacing w:before="120" w:after="120" w:line="240" w:lineRule="auto"/>
              <w:jc w:val="center"/>
              <w:rPr>
                <w:b/>
                <w:bCs/>
                <w:color w:val="FFFFFF" w:themeColor="background1"/>
                <w:sz w:val="20"/>
                <w:szCs w:val="20"/>
              </w:rPr>
            </w:pPr>
            <w:r w:rsidRPr="00FC5C15">
              <w:rPr>
                <w:b/>
                <w:bCs/>
                <w:color w:val="FFFFFF" w:themeColor="background1"/>
                <w:sz w:val="20"/>
                <w:szCs w:val="20"/>
              </w:rPr>
              <w:lastRenderedPageBreak/>
              <w:t xml:space="preserve">39 C.F.R. Part 3060—Accounting Practices and Tax Rules for the Theoretical Competitive Products Enterprise </w:t>
            </w:r>
          </w:p>
        </w:tc>
      </w:tr>
      <w:tr w:rsidR="00E228ED" w14:paraId="707323EB" w14:textId="77777777" w:rsidTr="00796953">
        <w:tc>
          <w:tcPr>
            <w:tcW w:w="0" w:type="auto"/>
          </w:tcPr>
          <w:p w14:paraId="59344185" w14:textId="0F3E57C4" w:rsidR="00E228ED" w:rsidRPr="006620E8" w:rsidRDefault="00E228ED" w:rsidP="00E228ED">
            <w:pPr>
              <w:pStyle w:val="NormalLeft"/>
              <w:spacing w:before="120" w:after="120" w:line="240" w:lineRule="auto"/>
              <w:rPr>
                <w:sz w:val="20"/>
                <w:szCs w:val="20"/>
              </w:rPr>
            </w:pPr>
            <w:r w:rsidRPr="006620E8">
              <w:rPr>
                <w:sz w:val="20"/>
                <w:szCs w:val="20"/>
              </w:rPr>
              <w:t>39 C.F.R. § 3060.10(b)</w:t>
            </w:r>
          </w:p>
        </w:tc>
        <w:tc>
          <w:tcPr>
            <w:tcW w:w="0" w:type="auto"/>
          </w:tcPr>
          <w:p w14:paraId="44C26395" w14:textId="12A27CA7" w:rsidR="00E228ED" w:rsidRPr="006620E8" w:rsidRDefault="00E228ED" w:rsidP="00E228ED">
            <w:pPr>
              <w:pStyle w:val="NormalLeft"/>
              <w:numPr>
                <w:ilvl w:val="0"/>
                <w:numId w:val="9"/>
              </w:numPr>
              <w:spacing w:before="120" w:after="120" w:line="240" w:lineRule="auto"/>
              <w:rPr>
                <w:sz w:val="20"/>
                <w:szCs w:val="20"/>
              </w:rPr>
            </w:pPr>
            <w:r w:rsidRPr="006620E8">
              <w:rPr>
                <w:sz w:val="20"/>
                <w:szCs w:val="20"/>
              </w:rPr>
              <w:t xml:space="preserve">Providing that the Commission will calculate a Competitive product’s attributable costs for purposes of the calculation of the net income for the Postal Service’s theoretical Competitive products enterprise as including volume-variable costs, product-specific costs, and those inframarginal costs calculated as part of a </w:t>
            </w:r>
            <w:r w:rsidR="00C70B4E" w:rsidRPr="006620E8">
              <w:rPr>
                <w:sz w:val="20"/>
                <w:szCs w:val="20"/>
              </w:rPr>
              <w:t>C</w:t>
            </w:r>
            <w:r w:rsidRPr="006620E8">
              <w:rPr>
                <w:sz w:val="20"/>
                <w:szCs w:val="20"/>
              </w:rPr>
              <w:t>ompetitive product’s incremental costs.  S</w:t>
            </w:r>
            <w:r w:rsidRPr="006620E8">
              <w:rPr>
                <w:i/>
                <w:iCs w:val="0"/>
                <w:sz w:val="20"/>
                <w:szCs w:val="20"/>
              </w:rPr>
              <w:t xml:space="preserve">ee </w:t>
            </w:r>
            <w:r w:rsidRPr="006620E8">
              <w:rPr>
                <w:sz w:val="20"/>
                <w:szCs w:val="20"/>
              </w:rPr>
              <w:t>39 U.S.C. § 3634</w:t>
            </w:r>
            <w:r w:rsidR="001438E5" w:rsidRPr="006620E8">
              <w:rPr>
                <w:sz w:val="20"/>
                <w:szCs w:val="20"/>
              </w:rPr>
              <w:t>(b)</w:t>
            </w:r>
            <w:r w:rsidRPr="006620E8">
              <w:rPr>
                <w:sz w:val="20"/>
                <w:szCs w:val="20"/>
              </w:rPr>
              <w:t xml:space="preserve"> (requiring the Postal Service to annually compute an assumed Federal income tax on Competitive products and transfer that amount from the Competitive Products Fund to the Postal Service Fund).</w:t>
            </w:r>
          </w:p>
        </w:tc>
      </w:tr>
    </w:tbl>
    <w:p w14:paraId="3E6BEF89" w14:textId="48197FAF" w:rsidR="00831449" w:rsidRDefault="00831449">
      <w:pPr>
        <w:spacing w:after="200" w:line="276" w:lineRule="auto"/>
        <w:ind w:firstLine="0"/>
        <w:rPr>
          <w:rFonts w:cs="Times New Roman"/>
          <w:bCs w:val="0"/>
          <w:iCs/>
          <w:kern w:val="0"/>
        </w:rPr>
      </w:pPr>
    </w:p>
    <w:p w14:paraId="6512167D" w14:textId="77777777" w:rsidR="00954529" w:rsidRDefault="00954529" w:rsidP="0034266D">
      <w:pPr>
        <w:pStyle w:val="NormalLeft"/>
        <w:spacing w:after="240"/>
        <w:ind w:firstLine="720"/>
        <w:sectPr w:rsidR="00954529" w:rsidSect="00176F73">
          <w:headerReference w:type="default" r:id="rId11"/>
          <w:headerReference w:type="first" r:id="rId12"/>
          <w:pgSz w:w="15840" w:h="12240" w:orient="landscape" w:code="1"/>
          <w:pgMar w:top="1440" w:right="1440" w:bottom="1440" w:left="1440" w:header="1440" w:footer="1440" w:gutter="0"/>
          <w:cols w:space="720"/>
          <w:titlePg/>
          <w:docGrid w:linePitch="360"/>
        </w:sectPr>
      </w:pPr>
    </w:p>
    <w:p w14:paraId="67A4AB2F" w14:textId="64CD311F" w:rsidR="00D04BDE" w:rsidRPr="006620E8" w:rsidRDefault="00F55EF4" w:rsidP="00796953">
      <w:pPr>
        <w:pStyle w:val="NormalLeft"/>
        <w:ind w:firstLine="720"/>
      </w:pPr>
      <w:r w:rsidRPr="006620E8">
        <w:lastRenderedPageBreak/>
        <w:t>T</w:t>
      </w:r>
      <w:r w:rsidR="00D04BDE" w:rsidRPr="006620E8">
        <w:t xml:space="preserve">he Postal Service uses a two-tier costing system to categorize its accrued costs. </w:t>
      </w:r>
      <w:r w:rsidR="00435EC2" w:rsidRPr="006620E8">
        <w:t xml:space="preserve"> </w:t>
      </w:r>
      <w:r w:rsidR="00D04BDE" w:rsidRPr="006620E8">
        <w:t xml:space="preserve">The Postal Service first identifies all costs that can be reliably and causally linked to individual </w:t>
      </w:r>
      <w:r w:rsidR="00E51E47" w:rsidRPr="006620E8">
        <w:t xml:space="preserve">postal </w:t>
      </w:r>
      <w:r w:rsidR="00D04BDE" w:rsidRPr="006620E8">
        <w:t xml:space="preserve">products or groups of products, using Commission-approved </w:t>
      </w:r>
      <w:r w:rsidR="0002749C" w:rsidRPr="006620E8">
        <w:t>analytical principles</w:t>
      </w:r>
      <w:r w:rsidR="00D04BDE" w:rsidRPr="006620E8">
        <w:t xml:space="preserve">, and attributes those costs to products or product groupings. </w:t>
      </w:r>
      <w:r w:rsidR="00D92847" w:rsidRPr="006620E8">
        <w:t xml:space="preserve"> </w:t>
      </w:r>
      <w:r w:rsidR="00D04BDE" w:rsidRPr="006620E8">
        <w:t xml:space="preserve">All remaining costs are classified as institutional. </w:t>
      </w:r>
      <w:r w:rsidR="00394A5F" w:rsidRPr="006620E8">
        <w:t xml:space="preserve"> </w:t>
      </w:r>
      <w:r w:rsidR="00D04BDE" w:rsidRPr="006620E8">
        <w:t xml:space="preserve">This two-tier postal costing </w:t>
      </w:r>
      <w:r w:rsidR="00ED3A89" w:rsidRPr="006620E8">
        <w:t>approach</w:t>
      </w:r>
      <w:r w:rsidR="0057267F" w:rsidRPr="006620E8">
        <w:t>, which</w:t>
      </w:r>
      <w:r w:rsidR="00CE0BC3" w:rsidRPr="006620E8">
        <w:t xml:space="preserve"> </w:t>
      </w:r>
      <w:r w:rsidR="00D04BDE" w:rsidRPr="006620E8">
        <w:t>is deeply rooted in the Postal Service’s historical treatment of costs</w:t>
      </w:r>
      <w:r w:rsidR="0057267F" w:rsidRPr="006620E8">
        <w:t>,</w:t>
      </w:r>
      <w:r w:rsidR="008938DB" w:rsidRPr="006620E8">
        <w:rPr>
          <w:rStyle w:val="FootnoteReference"/>
        </w:rPr>
        <w:footnoteReference w:id="5"/>
      </w:r>
      <w:r w:rsidR="0057267F" w:rsidRPr="006620E8">
        <w:t xml:space="preserve"> </w:t>
      </w:r>
      <w:r w:rsidR="00132E88" w:rsidRPr="006620E8">
        <w:t>has been</w:t>
      </w:r>
      <w:r w:rsidR="0057267F" w:rsidRPr="006620E8">
        <w:t xml:space="preserve"> adopted into Title 39 of the United States Code.</w:t>
      </w:r>
      <w:r w:rsidR="00C066C7" w:rsidRPr="006620E8">
        <w:rPr>
          <w:rStyle w:val="FootnoteReference"/>
        </w:rPr>
        <w:footnoteReference w:id="6"/>
      </w:r>
      <w:r w:rsidR="001B4651" w:rsidRPr="006620E8">
        <w:t xml:space="preserve">  Specifically, </w:t>
      </w:r>
      <w:r w:rsidR="00831CF2" w:rsidRPr="006620E8">
        <w:t>Section</w:t>
      </w:r>
      <w:r w:rsidR="00E1327F">
        <w:t>s</w:t>
      </w:r>
      <w:r w:rsidR="00831CF2" w:rsidRPr="006620E8">
        <w:t xml:space="preserve"> 363</w:t>
      </w:r>
      <w:r w:rsidR="003A6770" w:rsidRPr="006620E8">
        <w:t>1(b)</w:t>
      </w:r>
      <w:r w:rsidR="00831CF2" w:rsidRPr="006620E8">
        <w:t xml:space="preserve"> </w:t>
      </w:r>
      <w:r w:rsidR="000D7387" w:rsidRPr="006620E8">
        <w:t xml:space="preserve">and 3622(c) </w:t>
      </w:r>
      <w:r w:rsidR="00DC1339" w:rsidRPr="006620E8">
        <w:t xml:space="preserve">of Title 39 </w:t>
      </w:r>
      <w:r w:rsidR="00E62F05" w:rsidRPr="006620E8">
        <w:t>of the United States Code</w:t>
      </w:r>
      <w:r w:rsidR="00DC1339" w:rsidRPr="006620E8">
        <w:t xml:space="preserve"> expressly codif</w:t>
      </w:r>
      <w:r w:rsidR="000D7387" w:rsidRPr="006620E8">
        <w:t>y</w:t>
      </w:r>
      <w:r w:rsidR="0057267F" w:rsidRPr="006620E8">
        <w:t xml:space="preserve"> </w:t>
      </w:r>
      <w:r w:rsidR="007F5A92" w:rsidRPr="006620E8">
        <w:t xml:space="preserve">“reliably identified causal relationships” as the standard for cost attribution.  </w:t>
      </w:r>
      <w:r w:rsidR="002E69B5" w:rsidRPr="006620E8">
        <w:t>A</w:t>
      </w:r>
      <w:r w:rsidR="008E0EE8" w:rsidRPr="006620E8">
        <w:t xml:space="preserve"> detailed description of the approach to postal cost attribution currently employed by the Postal Service and the Commission </w:t>
      </w:r>
      <w:r w:rsidR="002E69B5" w:rsidRPr="006620E8">
        <w:rPr>
          <w:iCs w:val="0"/>
        </w:rPr>
        <w:t>appears in</w:t>
      </w:r>
      <w:r w:rsidR="008E0EE8" w:rsidRPr="006620E8">
        <w:rPr>
          <w:i/>
        </w:rPr>
        <w:t xml:space="preserve"> </w:t>
      </w:r>
      <w:r w:rsidR="008E0EE8" w:rsidRPr="006620E8">
        <w:t>Docket Nos. RM2017-1 and RM2022-2, Supplemental Notice of Proposed Rulemaking and Order Initiating the Third Review of the Institutional Cost Contribution Requirement for Competitive Products, November 18, 2021, at 11-35 (Order No. 6043).</w:t>
      </w:r>
    </w:p>
    <w:p w14:paraId="018DDEA5" w14:textId="1A767225" w:rsidR="007169CE" w:rsidRPr="006620E8" w:rsidRDefault="002C3C1A" w:rsidP="00796953">
      <w:pPr>
        <w:pStyle w:val="NormalLeft"/>
        <w:ind w:firstLine="720"/>
      </w:pPr>
      <w:r w:rsidRPr="006620E8">
        <w:lastRenderedPageBreak/>
        <w:t>S</w:t>
      </w:r>
      <w:r w:rsidR="003E2293" w:rsidRPr="006620E8">
        <w:t xml:space="preserve">ince the enactment of the </w:t>
      </w:r>
      <w:r w:rsidR="00BA20B6" w:rsidRPr="006620E8">
        <w:t>Postal Accountability and Enhancement Act (</w:t>
      </w:r>
      <w:r w:rsidR="00202227" w:rsidRPr="006620E8">
        <w:t>PAEA</w:t>
      </w:r>
      <w:r w:rsidR="00BA20B6" w:rsidRPr="006620E8">
        <w:t>)</w:t>
      </w:r>
      <w:r w:rsidR="00202227" w:rsidRPr="006620E8">
        <w:t xml:space="preserve"> </w:t>
      </w:r>
      <w:r w:rsidR="003E2293" w:rsidRPr="006620E8">
        <w:t>and the Commission’s subsequent promulgation of regulations,</w:t>
      </w:r>
      <w:r w:rsidR="00AA6A23" w:rsidRPr="006620E8">
        <w:rPr>
          <w:rStyle w:val="FootnoteReference"/>
        </w:rPr>
        <w:footnoteReference w:id="7"/>
      </w:r>
      <w:r w:rsidR="003E2293" w:rsidRPr="006620E8">
        <w:t xml:space="preserve"> the Postal Service has improved the information used as the basis for cost attribution by changing or upgrading numerous data systems and updating and improving special cost studies.</w:t>
      </w:r>
      <w:r w:rsidR="00394A5F" w:rsidRPr="006620E8">
        <w:t xml:space="preserve">  </w:t>
      </w:r>
      <w:r w:rsidR="004F0101" w:rsidRPr="006620E8">
        <w:t>As a result, t</w:t>
      </w:r>
      <w:r w:rsidR="003E2293" w:rsidRPr="006620E8">
        <w:t>he</w:t>
      </w:r>
      <w:r w:rsidR="002817FD" w:rsidRPr="006620E8">
        <w:t xml:space="preserve"> Commission has presided over numerous rulemakings that have affected cost attribution</w:t>
      </w:r>
      <w:r w:rsidR="0012226C" w:rsidRPr="006620E8">
        <w:t xml:space="preserve">.  </w:t>
      </w:r>
      <w:r w:rsidR="007169CE" w:rsidRPr="006620E8">
        <w:t xml:space="preserve">For example, </w:t>
      </w:r>
      <w:r w:rsidR="009A53B9" w:rsidRPr="006620E8">
        <w:t>Docket No. RM2016-2</w:t>
      </w:r>
      <w:r w:rsidR="004F1DA9" w:rsidRPr="006620E8">
        <w:t xml:space="preserve"> involved the </w:t>
      </w:r>
      <w:r w:rsidR="00802C5D" w:rsidRPr="006620E8">
        <w:t xml:space="preserve">Commission’s </w:t>
      </w:r>
      <w:r w:rsidR="004F1DA9" w:rsidRPr="006620E8">
        <w:t xml:space="preserve">rejection of a proposal to </w:t>
      </w:r>
      <w:r w:rsidR="009A53B9" w:rsidRPr="006620E8">
        <w:t>calculate and attribute inframarginal costs</w:t>
      </w:r>
      <w:r w:rsidR="004B4DA3" w:rsidRPr="006620E8">
        <w:t>, which had historically been treated as institutional costs,</w:t>
      </w:r>
      <w:r w:rsidR="009A53B9" w:rsidRPr="006620E8">
        <w:t xml:space="preserve"> to Competitive products</w:t>
      </w:r>
      <w:r w:rsidR="006516A2" w:rsidRPr="006620E8">
        <w:t>.</w:t>
      </w:r>
      <w:r w:rsidR="00D16BB6" w:rsidRPr="006620E8">
        <w:rPr>
          <w:rStyle w:val="FootnoteReference"/>
        </w:rPr>
        <w:footnoteReference w:id="8"/>
      </w:r>
      <w:r w:rsidR="006516A2" w:rsidRPr="006620E8">
        <w:t xml:space="preserve">  </w:t>
      </w:r>
      <w:r w:rsidR="003527F1" w:rsidRPr="006620E8">
        <w:t>T</w:t>
      </w:r>
      <w:r w:rsidR="00C4264A" w:rsidRPr="006620E8">
        <w:t>he Commission recognized</w:t>
      </w:r>
      <w:r w:rsidR="003527F1" w:rsidRPr="006620E8">
        <w:t>, however,</w:t>
      </w:r>
      <w:r w:rsidR="00C4264A" w:rsidRPr="006620E8">
        <w:t xml:space="preserve"> that some inframarginal costs </w:t>
      </w:r>
      <w:r w:rsidR="00723D37" w:rsidRPr="006620E8">
        <w:t>were ca</w:t>
      </w:r>
      <w:r w:rsidR="001A0C40" w:rsidRPr="006620E8">
        <w:t>u</w:t>
      </w:r>
      <w:r w:rsidR="00723D37" w:rsidRPr="006620E8">
        <w:t>sally related</w:t>
      </w:r>
      <w:r w:rsidR="00093E8A" w:rsidRPr="006620E8">
        <w:t xml:space="preserve"> to specific postal products or groups of products</w:t>
      </w:r>
      <w:r w:rsidR="00723D37" w:rsidRPr="006620E8">
        <w:t xml:space="preserve"> and could be reliably identified</w:t>
      </w:r>
      <w:r w:rsidR="005C00E1" w:rsidRPr="006620E8">
        <w:t xml:space="preserve"> through the calculation of incremental cost</w:t>
      </w:r>
      <w:r w:rsidR="00D830EA" w:rsidRPr="006620E8">
        <w:t>s</w:t>
      </w:r>
      <w:r w:rsidR="00723D37" w:rsidRPr="006620E8">
        <w:t xml:space="preserve">.  </w:t>
      </w:r>
      <w:r w:rsidR="003336B4" w:rsidRPr="006620E8">
        <w:t>Order No.</w:t>
      </w:r>
      <w:r w:rsidR="00C54E93" w:rsidRPr="006620E8">
        <w:t xml:space="preserve"> </w:t>
      </w:r>
      <w:r w:rsidR="003336B4" w:rsidRPr="006620E8">
        <w:t>3506</w:t>
      </w:r>
      <w:r w:rsidR="00C4264A" w:rsidRPr="006620E8">
        <w:t xml:space="preserve"> at 42.</w:t>
      </w:r>
      <w:r w:rsidR="00ED0A83" w:rsidRPr="006620E8">
        <w:t xml:space="preserve">  </w:t>
      </w:r>
      <w:r w:rsidR="00D830EA" w:rsidRPr="006620E8">
        <w:t>This</w:t>
      </w:r>
      <w:r w:rsidR="00ED0A83" w:rsidRPr="006620E8">
        <w:t xml:space="preserve"> resulted in the </w:t>
      </w:r>
      <w:r w:rsidR="003F0D80" w:rsidRPr="006620E8">
        <w:t xml:space="preserve">redefinition and expansion of </w:t>
      </w:r>
      <w:r w:rsidR="00ED0A83" w:rsidRPr="006620E8">
        <w:t xml:space="preserve">attributable </w:t>
      </w:r>
      <w:r w:rsidR="007404FD" w:rsidRPr="006620E8">
        <w:t>costs</w:t>
      </w:r>
      <w:r w:rsidR="00D830EA" w:rsidRPr="006620E8">
        <w:t>, along with</w:t>
      </w:r>
      <w:r w:rsidR="00CA1530" w:rsidRPr="006620E8">
        <w:t xml:space="preserve"> </w:t>
      </w:r>
      <w:r w:rsidR="00C57E0A" w:rsidRPr="006620E8">
        <w:t>revisions to 39</w:t>
      </w:r>
      <w:r w:rsidR="0069137B" w:rsidRPr="006620E8">
        <w:t> </w:t>
      </w:r>
      <w:r w:rsidR="00C57E0A" w:rsidRPr="006620E8">
        <w:t>C.F.R. §</w:t>
      </w:r>
      <w:r w:rsidR="004F530C" w:rsidRPr="006620E8">
        <w:t>§</w:t>
      </w:r>
      <w:r w:rsidR="00C57E0A" w:rsidRPr="006620E8">
        <w:t> 3035.107(b)</w:t>
      </w:r>
      <w:r w:rsidR="004F530C" w:rsidRPr="006620E8">
        <w:t xml:space="preserve"> and 3060.10(b)</w:t>
      </w:r>
      <w:r w:rsidR="00C57E0A" w:rsidRPr="006620E8">
        <w:t>.</w:t>
      </w:r>
    </w:p>
    <w:p w14:paraId="32BAB832" w14:textId="0F1A6BB5" w:rsidR="00C45183" w:rsidRPr="006620E8" w:rsidRDefault="00E87AA1" w:rsidP="00796953">
      <w:pPr>
        <w:pStyle w:val="NormalLeft"/>
        <w:ind w:firstLine="720"/>
        <w:rPr>
          <w:rStyle w:val="normaltextrun"/>
          <w:rFonts w:cs="Arial"/>
          <w:shd w:val="clear" w:color="auto" w:fill="FFFFFF"/>
        </w:rPr>
      </w:pPr>
      <w:r w:rsidRPr="006620E8">
        <w:t>Cost attribution</w:t>
      </w:r>
      <w:r w:rsidR="003D28F5" w:rsidRPr="006620E8">
        <w:t xml:space="preserve"> </w:t>
      </w:r>
      <w:r w:rsidR="00F02285" w:rsidRPr="006620E8">
        <w:t>can</w:t>
      </w:r>
      <w:r w:rsidRPr="006620E8">
        <w:t xml:space="preserve"> </w:t>
      </w:r>
      <w:r w:rsidR="00F02285" w:rsidRPr="006620E8">
        <w:t xml:space="preserve">be </w:t>
      </w:r>
      <w:r w:rsidR="00C13308" w:rsidRPr="006620E8">
        <w:t>affected</w:t>
      </w:r>
      <w:r w:rsidR="00F02285" w:rsidRPr="006620E8">
        <w:t xml:space="preserve"> in </w:t>
      </w:r>
      <w:r w:rsidR="004B4DA3" w:rsidRPr="006620E8">
        <w:t>major or</w:t>
      </w:r>
      <w:r w:rsidR="00F02285" w:rsidRPr="006620E8">
        <w:t xml:space="preserve"> minor ways through Commission proceedings</w:t>
      </w:r>
      <w:r w:rsidR="00601F91" w:rsidRPr="006620E8">
        <w:t xml:space="preserve"> </w:t>
      </w:r>
      <w:r w:rsidR="007404FD" w:rsidRPr="006620E8">
        <w:t>that involve changes in</w:t>
      </w:r>
      <w:r w:rsidR="00F02285" w:rsidRPr="006620E8">
        <w:t xml:space="preserve"> </w:t>
      </w:r>
      <w:r w:rsidR="00C568FF" w:rsidRPr="006620E8">
        <w:t>“analytical principles</w:t>
      </w:r>
      <w:r w:rsidR="004B2EA2" w:rsidRPr="006620E8">
        <w:t>.”</w:t>
      </w:r>
      <w:r w:rsidR="00D51A21" w:rsidRPr="006620E8">
        <w:t xml:space="preserve">  </w:t>
      </w:r>
      <w:r w:rsidR="00E875CD" w:rsidRPr="006620E8">
        <w:t>A</w:t>
      </w:r>
      <w:r w:rsidR="00873E40" w:rsidRPr="006620E8">
        <w:rPr>
          <w:rStyle w:val="normaltextrun"/>
          <w:rFonts w:cs="Arial"/>
          <w:shd w:val="clear" w:color="auto" w:fill="FFFFFF"/>
        </w:rPr>
        <w:t xml:space="preserve">nalytical principles refer to economic, mathematical, or statistical theories, precepts, or assumptions </w:t>
      </w:r>
      <w:r w:rsidR="002C4C02" w:rsidRPr="006620E8">
        <w:rPr>
          <w:rStyle w:val="normaltextrun"/>
          <w:rFonts w:cs="Arial"/>
          <w:shd w:val="clear" w:color="auto" w:fill="FFFFFF"/>
        </w:rPr>
        <w:t xml:space="preserve">applied by the Postal Service in producing </w:t>
      </w:r>
      <w:r w:rsidR="004B4DA3" w:rsidRPr="006620E8">
        <w:rPr>
          <w:rStyle w:val="normaltextrun"/>
          <w:rFonts w:cs="Arial"/>
          <w:shd w:val="clear" w:color="auto" w:fill="FFFFFF"/>
        </w:rPr>
        <w:t>required</w:t>
      </w:r>
      <w:r w:rsidR="002C4C02" w:rsidRPr="006620E8">
        <w:rPr>
          <w:rStyle w:val="normaltextrun"/>
          <w:rFonts w:cs="Arial"/>
          <w:shd w:val="clear" w:color="auto" w:fill="FFFFFF"/>
        </w:rPr>
        <w:t xml:space="preserve"> periodic report</w:t>
      </w:r>
      <w:r w:rsidR="004B4DA3" w:rsidRPr="006620E8">
        <w:rPr>
          <w:rStyle w:val="normaltextrun"/>
          <w:rFonts w:cs="Arial"/>
          <w:shd w:val="clear" w:color="auto" w:fill="FFFFFF"/>
        </w:rPr>
        <w:t>s</w:t>
      </w:r>
      <w:r w:rsidR="002C4C02" w:rsidRPr="006620E8">
        <w:rPr>
          <w:rStyle w:val="normaltextrun"/>
          <w:rFonts w:cs="Arial"/>
          <w:shd w:val="clear" w:color="auto" w:fill="FFFFFF"/>
        </w:rPr>
        <w:t xml:space="preserve">.  </w:t>
      </w:r>
      <w:r w:rsidR="002C4C02" w:rsidRPr="006620E8">
        <w:rPr>
          <w:rStyle w:val="normaltextrun"/>
          <w:rFonts w:cs="Arial"/>
          <w:i/>
          <w:iCs w:val="0"/>
          <w:shd w:val="clear" w:color="auto" w:fill="FFFFFF"/>
        </w:rPr>
        <w:t xml:space="preserve">See </w:t>
      </w:r>
      <w:r w:rsidR="002C4C02" w:rsidRPr="006620E8">
        <w:rPr>
          <w:rStyle w:val="normaltextrun"/>
          <w:rFonts w:cs="Arial"/>
          <w:shd w:val="clear" w:color="auto" w:fill="FFFFFF"/>
        </w:rPr>
        <w:t xml:space="preserve">39 C.F.R. </w:t>
      </w:r>
      <w:r w:rsidR="001A1535" w:rsidRPr="006620E8">
        <w:rPr>
          <w:rStyle w:val="normaltextrun"/>
          <w:rFonts w:cs="Arial"/>
          <w:shd w:val="clear" w:color="auto" w:fill="FFFFFF"/>
        </w:rPr>
        <w:t xml:space="preserve">§ </w:t>
      </w:r>
      <w:r w:rsidR="002C4C02" w:rsidRPr="006620E8">
        <w:rPr>
          <w:rStyle w:val="normaltextrun"/>
          <w:rFonts w:cs="Arial"/>
          <w:shd w:val="clear" w:color="auto" w:fill="FFFFFF"/>
        </w:rPr>
        <w:t xml:space="preserve">3050.1(c).  </w:t>
      </w:r>
      <w:r w:rsidR="00A87EC9" w:rsidRPr="006620E8">
        <w:rPr>
          <w:rStyle w:val="normaltextrun"/>
          <w:rFonts w:cs="Arial"/>
          <w:shd w:val="clear" w:color="auto" w:fill="FFFFFF"/>
        </w:rPr>
        <w:t>Analytical principles</w:t>
      </w:r>
      <w:r w:rsidR="0047391B" w:rsidRPr="006620E8">
        <w:rPr>
          <w:rStyle w:val="normaltextrun"/>
          <w:rFonts w:cs="Arial"/>
          <w:shd w:val="clear" w:color="auto" w:fill="FFFFFF"/>
        </w:rPr>
        <w:t xml:space="preserve"> include, but are not limited to, costing methodologies and cost models </w:t>
      </w:r>
      <w:r w:rsidR="004B4DA3" w:rsidRPr="006620E8">
        <w:rPr>
          <w:rStyle w:val="normaltextrun"/>
          <w:rFonts w:cs="Arial"/>
          <w:shd w:val="clear" w:color="auto" w:fill="FFFFFF"/>
        </w:rPr>
        <w:t xml:space="preserve">that </w:t>
      </w:r>
      <w:r w:rsidR="0047391B" w:rsidRPr="006620E8">
        <w:rPr>
          <w:rStyle w:val="normaltextrun"/>
          <w:rFonts w:cs="Arial"/>
          <w:shd w:val="clear" w:color="auto" w:fill="FFFFFF"/>
        </w:rPr>
        <w:t xml:space="preserve">the Postal Service relies </w:t>
      </w:r>
      <w:r w:rsidR="004B4DA3" w:rsidRPr="006620E8">
        <w:rPr>
          <w:rStyle w:val="normaltextrun"/>
          <w:rFonts w:cs="Arial"/>
          <w:shd w:val="clear" w:color="auto" w:fill="FFFFFF"/>
        </w:rPr>
        <w:t>up</w:t>
      </w:r>
      <w:r w:rsidR="0047391B" w:rsidRPr="006620E8">
        <w:rPr>
          <w:rStyle w:val="normaltextrun"/>
          <w:rFonts w:cs="Arial"/>
          <w:shd w:val="clear" w:color="auto" w:fill="FFFFFF"/>
        </w:rPr>
        <w:t xml:space="preserve">on to </w:t>
      </w:r>
      <w:r w:rsidR="00AC5EE5" w:rsidRPr="006620E8">
        <w:rPr>
          <w:rStyle w:val="normaltextrun"/>
          <w:rFonts w:cs="Arial"/>
          <w:shd w:val="clear" w:color="auto" w:fill="FFFFFF"/>
        </w:rPr>
        <w:t xml:space="preserve">generate </w:t>
      </w:r>
      <w:r w:rsidR="00D830EA" w:rsidRPr="006620E8">
        <w:rPr>
          <w:rStyle w:val="normaltextrun"/>
          <w:rFonts w:cs="Arial"/>
          <w:shd w:val="clear" w:color="auto" w:fill="FFFFFF"/>
        </w:rPr>
        <w:t>cost-related</w:t>
      </w:r>
      <w:r w:rsidR="00AC5EE5" w:rsidRPr="006620E8">
        <w:rPr>
          <w:rStyle w:val="normaltextrun"/>
          <w:rFonts w:cs="Arial"/>
          <w:shd w:val="clear" w:color="auto" w:fill="FFFFFF"/>
        </w:rPr>
        <w:t xml:space="preserve"> data.  </w:t>
      </w:r>
      <w:r w:rsidR="004B4DA3" w:rsidRPr="006620E8">
        <w:rPr>
          <w:rStyle w:val="normaltextrun"/>
          <w:rFonts w:cs="Arial"/>
          <w:shd w:val="clear" w:color="auto" w:fill="FFFFFF"/>
        </w:rPr>
        <w:t xml:space="preserve">The Commission has presided over many such proceedings to change accepted analytical principles </w:t>
      </w:r>
      <w:r w:rsidR="0003619B" w:rsidRPr="006620E8">
        <w:rPr>
          <w:rStyle w:val="normaltextrun"/>
          <w:rFonts w:cs="Arial"/>
          <w:shd w:val="clear" w:color="auto" w:fill="FFFFFF"/>
        </w:rPr>
        <w:t>since the PAEA was enacted.</w:t>
      </w:r>
    </w:p>
    <w:p w14:paraId="16AC2985" w14:textId="78FC9414" w:rsidR="00C45183" w:rsidRPr="006620E8" w:rsidRDefault="00A765AB" w:rsidP="00796953">
      <w:r w:rsidRPr="006620E8">
        <w:t xml:space="preserve">The Commission is currently in the process of conducting a strategic rulemaking proceeding to consider </w:t>
      </w:r>
      <w:r w:rsidR="0003619B" w:rsidRPr="006620E8">
        <w:t xml:space="preserve">further </w:t>
      </w:r>
      <w:r w:rsidRPr="006620E8">
        <w:t xml:space="preserve">possible improvements to the quality, </w:t>
      </w:r>
      <w:r w:rsidR="0006019B" w:rsidRPr="006620E8">
        <w:t xml:space="preserve">accuracy, or </w:t>
      </w:r>
      <w:r w:rsidR="0006019B" w:rsidRPr="006620E8">
        <w:lastRenderedPageBreak/>
        <w:t>completeness of data provided by the Postal Service pursuant to 39 U.S.C. § 36</w:t>
      </w:r>
      <w:r w:rsidR="00D910C0" w:rsidRPr="006620E8">
        <w:t>5</w:t>
      </w:r>
      <w:r w:rsidR="0006019B" w:rsidRPr="006620E8">
        <w:t>2</w:t>
      </w:r>
      <w:r w:rsidR="00410094" w:rsidRPr="006620E8">
        <w:t>.</w:t>
      </w:r>
      <w:r w:rsidR="00410094" w:rsidRPr="006620E8">
        <w:rPr>
          <w:rStyle w:val="FootnoteReference"/>
        </w:rPr>
        <w:footnoteReference w:id="9"/>
      </w:r>
      <w:r w:rsidR="00E82B58" w:rsidRPr="006620E8">
        <w:t xml:space="preserve">  The Commission intends, with input from commenters, </w:t>
      </w:r>
      <w:r w:rsidR="00576F58" w:rsidRPr="006620E8">
        <w:t xml:space="preserve">to </w:t>
      </w:r>
      <w:r w:rsidR="00E82B58" w:rsidRPr="006620E8">
        <w:t xml:space="preserve">develop an inventory of data </w:t>
      </w:r>
      <w:r w:rsidR="00533E42" w:rsidRPr="006620E8">
        <w:t xml:space="preserve">collection and analysis needs (including needs with respect to </w:t>
      </w:r>
      <w:r w:rsidR="00761D72" w:rsidRPr="006620E8">
        <w:t xml:space="preserve">analytical principles involving postal cost attribution) and then comprehensively </w:t>
      </w:r>
      <w:r w:rsidR="00576F58">
        <w:t xml:space="preserve">to </w:t>
      </w:r>
      <w:r w:rsidR="00761D72" w:rsidRPr="006620E8">
        <w:t>evaluate those needs and devise a plan for meeting them</w:t>
      </w:r>
      <w:r w:rsidR="000F2BB7" w:rsidRPr="006620E8">
        <w:t xml:space="preserve">.  </w:t>
      </w:r>
      <w:r w:rsidR="009D06A1" w:rsidRPr="006620E8">
        <w:rPr>
          <w:i/>
          <w:iCs/>
        </w:rPr>
        <w:t>See</w:t>
      </w:r>
      <w:r w:rsidR="009D06A1" w:rsidRPr="006620E8">
        <w:t xml:space="preserve"> Order No. 6004</w:t>
      </w:r>
      <w:r w:rsidR="000F2BB7" w:rsidRPr="006620E8">
        <w:rPr>
          <w:i/>
          <w:iCs/>
        </w:rPr>
        <w:t xml:space="preserve"> </w:t>
      </w:r>
      <w:r w:rsidR="000F2BB7" w:rsidRPr="006620E8">
        <w:t>at 9.  Order No. 6004 summarizes</w:t>
      </w:r>
      <w:r w:rsidR="001D551E">
        <w:t>,</w:t>
      </w:r>
      <w:r w:rsidR="000F2BB7" w:rsidRPr="006620E8">
        <w:t xml:space="preserve"> by topic</w:t>
      </w:r>
      <w:r w:rsidR="001D551E">
        <w:t>,</w:t>
      </w:r>
      <w:r w:rsidR="000F2BB7" w:rsidRPr="006620E8">
        <w:t xml:space="preserve"> major developments that have occurred in the area of postal cost attribution </w:t>
      </w:r>
      <w:r w:rsidR="00AF4A0A" w:rsidRPr="006620E8">
        <w:t>since the Commission’s first such strategic rulemaking</w:t>
      </w:r>
      <w:r w:rsidR="001664AA" w:rsidRPr="006620E8">
        <w:t xml:space="preserve"> </w:t>
      </w:r>
      <w:r w:rsidR="000318AD" w:rsidRPr="006620E8">
        <w:t>more than</w:t>
      </w:r>
      <w:r w:rsidR="001664AA" w:rsidRPr="006620E8">
        <w:t xml:space="preserve"> a decade ago</w:t>
      </w:r>
      <w:r w:rsidR="00D46D45" w:rsidRPr="006620E8">
        <w:t>,</w:t>
      </w:r>
      <w:r w:rsidR="006756A7" w:rsidRPr="006620E8">
        <w:t xml:space="preserve"> which </w:t>
      </w:r>
      <w:r w:rsidR="007F2F66" w:rsidRPr="006620E8">
        <w:t>interested parties may find useful for purposes of</w:t>
      </w:r>
      <w:r w:rsidR="006756A7" w:rsidRPr="006620E8">
        <w:t xml:space="preserve"> comment</w:t>
      </w:r>
      <w:r w:rsidR="007F2F66" w:rsidRPr="006620E8">
        <w:t>ing</w:t>
      </w:r>
      <w:r w:rsidR="006756A7" w:rsidRPr="006620E8">
        <w:t xml:space="preserve"> in the instant proceeding</w:t>
      </w:r>
      <w:r w:rsidR="001664AA" w:rsidRPr="006620E8">
        <w:t>.</w:t>
      </w:r>
      <w:r w:rsidR="003F350B" w:rsidRPr="006620E8">
        <w:rPr>
          <w:rStyle w:val="FootnoteReference"/>
        </w:rPr>
        <w:footnoteReference w:id="10"/>
      </w:r>
    </w:p>
    <w:p w14:paraId="05BC8DD4" w14:textId="3D7F9698" w:rsidR="009951DC" w:rsidRDefault="007425D8" w:rsidP="00E00725">
      <w:pPr>
        <w:pStyle w:val="NormalLeft"/>
        <w:ind w:firstLine="720"/>
      </w:pPr>
      <w:r w:rsidRPr="006620E8">
        <w:t xml:space="preserve">Table </w:t>
      </w:r>
      <w:r w:rsidR="00E62F05" w:rsidRPr="006620E8">
        <w:t>II-2</w:t>
      </w:r>
      <w:r w:rsidRPr="006620E8">
        <w:t xml:space="preserve"> provides examples </w:t>
      </w:r>
      <w:r w:rsidR="00D830EA" w:rsidRPr="006620E8">
        <w:t xml:space="preserve">of </w:t>
      </w:r>
      <w:r w:rsidR="00222E99" w:rsidRPr="006620E8">
        <w:t xml:space="preserve">more </w:t>
      </w:r>
      <w:r w:rsidR="001D1A96" w:rsidRPr="006620E8">
        <w:t xml:space="preserve">recent </w:t>
      </w:r>
      <w:r w:rsidR="007B780B" w:rsidRPr="006620E8">
        <w:t>proceedings involving changes in analytical principles related to cost attribution</w:t>
      </w:r>
      <w:r w:rsidR="00D07488" w:rsidRPr="006620E8">
        <w:t xml:space="preserve"> </w:t>
      </w:r>
      <w:r w:rsidR="007F2F66" w:rsidRPr="006620E8">
        <w:t>that were proposed</w:t>
      </w:r>
      <w:r w:rsidR="00055E17" w:rsidRPr="006620E8">
        <w:t xml:space="preserve"> by the Postal Service</w:t>
      </w:r>
      <w:r w:rsidR="007F2F66" w:rsidRPr="006620E8">
        <w:t xml:space="preserve"> and that either </w:t>
      </w:r>
      <w:r w:rsidR="009D73B2" w:rsidRPr="006620E8">
        <w:t xml:space="preserve">are </w:t>
      </w:r>
      <w:r w:rsidR="007F2F66" w:rsidRPr="006620E8">
        <w:t>pending or have been decided</w:t>
      </w:r>
      <w:r w:rsidR="00055E17" w:rsidRPr="006620E8">
        <w:t xml:space="preserve"> since</w:t>
      </w:r>
      <w:r w:rsidR="008F5CC8" w:rsidRPr="006620E8">
        <w:t xml:space="preserve"> the issuance of Order No. 6004</w:t>
      </w:r>
      <w:r w:rsidR="007D482F" w:rsidRPr="006620E8">
        <w:t>.</w:t>
      </w:r>
    </w:p>
    <w:p w14:paraId="3EEC870C" w14:textId="77777777" w:rsidR="0050782B" w:rsidRDefault="0050782B" w:rsidP="00502A40">
      <w:pPr>
        <w:pStyle w:val="NormalLeft"/>
        <w:spacing w:line="240" w:lineRule="auto"/>
        <w:jc w:val="center"/>
        <w:rPr>
          <w:b/>
          <w:bCs/>
        </w:rPr>
        <w:sectPr w:rsidR="0050782B" w:rsidSect="00341F1D">
          <w:headerReference w:type="default" r:id="rId13"/>
          <w:headerReference w:type="first" r:id="rId14"/>
          <w:pgSz w:w="12240" w:h="15840" w:code="1"/>
          <w:pgMar w:top="1440" w:right="1440" w:bottom="1440" w:left="1440" w:header="1440" w:footer="1440" w:gutter="0"/>
          <w:cols w:space="720"/>
          <w:titlePg/>
          <w:docGrid w:linePitch="360"/>
        </w:sectPr>
      </w:pPr>
    </w:p>
    <w:p w14:paraId="52761980" w14:textId="34B157A9" w:rsidR="008F2B67" w:rsidRPr="0046144C" w:rsidRDefault="008F2B67" w:rsidP="002A6586">
      <w:pPr>
        <w:pStyle w:val="NormalLeft"/>
        <w:spacing w:line="240" w:lineRule="auto"/>
        <w:jc w:val="center"/>
        <w:rPr>
          <w:b/>
          <w:bCs/>
        </w:rPr>
      </w:pPr>
      <w:r w:rsidRPr="0046144C">
        <w:rPr>
          <w:b/>
          <w:bCs/>
        </w:rPr>
        <w:lastRenderedPageBreak/>
        <w:t xml:space="preserve">Table </w:t>
      </w:r>
      <w:r w:rsidR="007B780B" w:rsidRPr="0046144C">
        <w:rPr>
          <w:b/>
          <w:bCs/>
        </w:rPr>
        <w:t>II-2</w:t>
      </w:r>
    </w:p>
    <w:p w14:paraId="1C7BCF06" w14:textId="64230F30" w:rsidR="008F2B67" w:rsidRDefault="00A6273B" w:rsidP="002A6586">
      <w:pPr>
        <w:pStyle w:val="NormalLeft"/>
        <w:spacing w:line="240" w:lineRule="auto"/>
        <w:jc w:val="center"/>
        <w:rPr>
          <w:b/>
          <w:bCs/>
        </w:rPr>
      </w:pPr>
      <w:r>
        <w:rPr>
          <w:b/>
          <w:bCs/>
        </w:rPr>
        <w:t xml:space="preserve">Recent </w:t>
      </w:r>
      <w:r w:rsidR="002B0220">
        <w:rPr>
          <w:b/>
          <w:bCs/>
        </w:rPr>
        <w:t xml:space="preserve">Postal Service </w:t>
      </w:r>
      <w:r w:rsidR="00482B8C" w:rsidRPr="0046144C">
        <w:rPr>
          <w:b/>
          <w:bCs/>
        </w:rPr>
        <w:t>Proposals</w:t>
      </w:r>
      <w:r w:rsidR="009C3CE7">
        <w:rPr>
          <w:b/>
          <w:bCs/>
        </w:rPr>
        <w:t xml:space="preserve"> </w:t>
      </w:r>
      <w:r w:rsidR="0046144C" w:rsidRPr="0046144C">
        <w:rPr>
          <w:b/>
          <w:bCs/>
        </w:rPr>
        <w:t>Involving</w:t>
      </w:r>
      <w:r w:rsidR="00482B8C" w:rsidRPr="0046144C">
        <w:rPr>
          <w:b/>
          <w:bCs/>
        </w:rPr>
        <w:t xml:space="preserve"> Changes in </w:t>
      </w:r>
      <w:r w:rsidR="0046144C" w:rsidRPr="0046144C">
        <w:rPr>
          <w:b/>
          <w:bCs/>
        </w:rPr>
        <w:t>Analytical</w:t>
      </w:r>
      <w:r w:rsidR="00482B8C" w:rsidRPr="0046144C">
        <w:rPr>
          <w:b/>
          <w:bCs/>
        </w:rPr>
        <w:t xml:space="preserve"> Principles</w:t>
      </w:r>
      <w:r w:rsidR="009C3CE7">
        <w:rPr>
          <w:b/>
          <w:bCs/>
        </w:rPr>
        <w:br/>
      </w:r>
      <w:r w:rsidR="009951DC">
        <w:rPr>
          <w:b/>
          <w:bCs/>
        </w:rPr>
        <w:t>Impacting</w:t>
      </w:r>
      <w:r w:rsidR="0046144C" w:rsidRPr="0046144C">
        <w:rPr>
          <w:b/>
          <w:bCs/>
        </w:rPr>
        <w:t xml:space="preserve"> Cost Attribution</w:t>
      </w:r>
    </w:p>
    <w:p w14:paraId="210AF23E" w14:textId="77777777" w:rsidR="002A6586" w:rsidRPr="0046144C" w:rsidRDefault="002A6586" w:rsidP="005277C3">
      <w:pPr>
        <w:pStyle w:val="NormalLeft"/>
        <w:spacing w:line="240" w:lineRule="auto"/>
        <w:jc w:val="center"/>
        <w:rPr>
          <w:b/>
          <w:bCs/>
        </w:rPr>
      </w:pPr>
    </w:p>
    <w:tbl>
      <w:tblPr>
        <w:tblStyle w:val="GridTable4-Accent1"/>
        <w:tblpPr w:leftFromText="180" w:rightFromText="180" w:vertAnchor="text" w:tblpXSpec="center" w:tblpY="1"/>
        <w:tblOverlap w:val="never"/>
        <w:tblW w:w="0" w:type="auto"/>
        <w:tblLook w:val="04A0" w:firstRow="1" w:lastRow="0" w:firstColumn="1" w:lastColumn="0" w:noHBand="0" w:noVBand="1"/>
      </w:tblPr>
      <w:tblGrid>
        <w:gridCol w:w="1345"/>
        <w:gridCol w:w="1080"/>
        <w:gridCol w:w="9312"/>
        <w:gridCol w:w="1213"/>
      </w:tblGrid>
      <w:tr w:rsidR="00F26EF2" w14:paraId="0F3CB355" w14:textId="478B4E63" w:rsidTr="00485600">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345" w:type="dxa"/>
          </w:tcPr>
          <w:p w14:paraId="635D4CD2" w14:textId="798B4803" w:rsidR="00765066" w:rsidRPr="005277C3" w:rsidRDefault="00765066" w:rsidP="0003416E">
            <w:pPr>
              <w:pStyle w:val="NormalLeft"/>
              <w:spacing w:before="60" w:after="60" w:line="240" w:lineRule="auto"/>
              <w:jc w:val="center"/>
              <w:rPr>
                <w:b w:val="0"/>
                <w:bCs w:val="0"/>
                <w:sz w:val="20"/>
                <w:szCs w:val="20"/>
              </w:rPr>
            </w:pPr>
            <w:r w:rsidRPr="005277C3">
              <w:rPr>
                <w:sz w:val="20"/>
                <w:szCs w:val="20"/>
              </w:rPr>
              <w:t>Docket No.</w:t>
            </w:r>
          </w:p>
        </w:tc>
        <w:tc>
          <w:tcPr>
            <w:tcW w:w="1080" w:type="dxa"/>
          </w:tcPr>
          <w:p w14:paraId="0D5903F0" w14:textId="4FF5182B" w:rsidR="00765066" w:rsidRPr="005277C3" w:rsidRDefault="00765066" w:rsidP="0003416E">
            <w:pPr>
              <w:pStyle w:val="NormalLeft"/>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277C3">
              <w:rPr>
                <w:sz w:val="20"/>
                <w:szCs w:val="20"/>
              </w:rPr>
              <w:t>Postal Service Proposal No.</w:t>
            </w:r>
            <w:r w:rsidR="00245CBA" w:rsidRPr="005277C3">
              <w:rPr>
                <w:sz w:val="20"/>
                <w:szCs w:val="20"/>
              </w:rPr>
              <w:t>*</w:t>
            </w:r>
          </w:p>
        </w:tc>
        <w:tc>
          <w:tcPr>
            <w:tcW w:w="9312" w:type="dxa"/>
          </w:tcPr>
          <w:p w14:paraId="2AF8B407" w14:textId="0C9C827D" w:rsidR="00765066" w:rsidRPr="005277C3" w:rsidRDefault="00765066" w:rsidP="0003416E">
            <w:pPr>
              <w:pStyle w:val="NormalLeft"/>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277C3">
              <w:rPr>
                <w:sz w:val="20"/>
                <w:szCs w:val="20"/>
              </w:rPr>
              <w:t>Synopsis</w:t>
            </w:r>
          </w:p>
        </w:tc>
        <w:tc>
          <w:tcPr>
            <w:tcW w:w="0" w:type="auto"/>
          </w:tcPr>
          <w:p w14:paraId="464B1863" w14:textId="7D339DC4" w:rsidR="00765066" w:rsidRPr="005277C3" w:rsidRDefault="00765066" w:rsidP="0003416E">
            <w:pPr>
              <w:pStyle w:val="NormalLeft"/>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277C3">
              <w:rPr>
                <w:sz w:val="20"/>
                <w:szCs w:val="20"/>
              </w:rPr>
              <w:t>Final Order No.</w:t>
            </w:r>
          </w:p>
        </w:tc>
      </w:tr>
      <w:tr w:rsidR="00765066" w14:paraId="3C4DDF82" w14:textId="74E4FAE8" w:rsidTr="0048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025CB06" w14:textId="6038B21E" w:rsidR="00765066" w:rsidRPr="005277C3" w:rsidRDefault="00765066" w:rsidP="0003416E">
            <w:pPr>
              <w:pStyle w:val="NormalLeft"/>
              <w:spacing w:after="240"/>
              <w:rPr>
                <w:b w:val="0"/>
                <w:bCs w:val="0"/>
                <w:sz w:val="20"/>
                <w:szCs w:val="20"/>
              </w:rPr>
            </w:pPr>
            <w:r w:rsidRPr="005277C3">
              <w:rPr>
                <w:sz w:val="20"/>
                <w:szCs w:val="20"/>
              </w:rPr>
              <w:t>RM2022-13</w:t>
            </w:r>
          </w:p>
        </w:tc>
        <w:tc>
          <w:tcPr>
            <w:tcW w:w="1080" w:type="dxa"/>
          </w:tcPr>
          <w:p w14:paraId="24EA7F52" w14:textId="06EC2E4F"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Six</w:t>
            </w:r>
          </w:p>
        </w:tc>
        <w:tc>
          <w:tcPr>
            <w:tcW w:w="9312" w:type="dxa"/>
          </w:tcPr>
          <w:p w14:paraId="532333F8" w14:textId="2FA0EC82" w:rsidR="00765066" w:rsidRPr="005277C3" w:rsidRDefault="005825E1" w:rsidP="0003416E">
            <w:pPr>
              <w:pStyle w:val="NormalLeft"/>
              <w:spacing w:after="2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U</w:t>
            </w:r>
            <w:r w:rsidR="00765066" w:rsidRPr="005277C3">
              <w:rPr>
                <w:sz w:val="20"/>
                <w:szCs w:val="20"/>
              </w:rPr>
              <w:t>pdat</w:t>
            </w:r>
            <w:r w:rsidRPr="005277C3">
              <w:rPr>
                <w:sz w:val="20"/>
                <w:szCs w:val="20"/>
              </w:rPr>
              <w:t>ing</w:t>
            </w:r>
            <w:r w:rsidR="00765066" w:rsidRPr="005277C3">
              <w:rPr>
                <w:sz w:val="20"/>
                <w:szCs w:val="20"/>
              </w:rPr>
              <w:t xml:space="preserve"> methodology used for distributing peak season highway transportation costs to products</w:t>
            </w:r>
          </w:p>
        </w:tc>
        <w:tc>
          <w:tcPr>
            <w:tcW w:w="0" w:type="auto"/>
          </w:tcPr>
          <w:p w14:paraId="0F7A9164" w14:textId="67E56D1C"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6322</w:t>
            </w:r>
          </w:p>
        </w:tc>
      </w:tr>
      <w:tr w:rsidR="00765066" w14:paraId="27DFD4CD" w14:textId="4F582846" w:rsidTr="00485600">
        <w:tc>
          <w:tcPr>
            <w:cnfStyle w:val="001000000000" w:firstRow="0" w:lastRow="0" w:firstColumn="1" w:lastColumn="0" w:oddVBand="0" w:evenVBand="0" w:oddHBand="0" w:evenHBand="0" w:firstRowFirstColumn="0" w:firstRowLastColumn="0" w:lastRowFirstColumn="0" w:lastRowLastColumn="0"/>
            <w:tcW w:w="1345" w:type="dxa"/>
          </w:tcPr>
          <w:p w14:paraId="7219F928" w14:textId="47BB279C" w:rsidR="00765066" w:rsidRPr="005277C3" w:rsidRDefault="00765066" w:rsidP="0003416E">
            <w:pPr>
              <w:pStyle w:val="NormalLeft"/>
              <w:spacing w:after="240"/>
              <w:rPr>
                <w:b w:val="0"/>
                <w:bCs w:val="0"/>
                <w:sz w:val="20"/>
                <w:szCs w:val="20"/>
              </w:rPr>
            </w:pPr>
            <w:r w:rsidRPr="005277C3">
              <w:rPr>
                <w:sz w:val="20"/>
                <w:szCs w:val="20"/>
              </w:rPr>
              <w:t>RM2022-11</w:t>
            </w:r>
          </w:p>
        </w:tc>
        <w:tc>
          <w:tcPr>
            <w:tcW w:w="1080" w:type="dxa"/>
          </w:tcPr>
          <w:p w14:paraId="6978572F" w14:textId="4554F986" w:rsidR="00765066" w:rsidRPr="005277C3" w:rsidRDefault="00765066"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Five</w:t>
            </w:r>
          </w:p>
        </w:tc>
        <w:tc>
          <w:tcPr>
            <w:tcW w:w="9312" w:type="dxa"/>
          </w:tcPr>
          <w:p w14:paraId="48B59664" w14:textId="72902351" w:rsidR="00765066" w:rsidRPr="005277C3" w:rsidRDefault="00F54342" w:rsidP="0003416E">
            <w:pPr>
              <w:pStyle w:val="NormalLeft"/>
              <w:spacing w:after="2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 xml:space="preserve">Updating </w:t>
            </w:r>
            <w:r w:rsidR="009D4549" w:rsidRPr="005277C3">
              <w:rPr>
                <w:sz w:val="20"/>
                <w:szCs w:val="20"/>
              </w:rPr>
              <w:t>cost proportions used to estimate accrued Contract Delivery Service (CDS)</w:t>
            </w:r>
            <w:r w:rsidR="003B0306" w:rsidRPr="005277C3">
              <w:rPr>
                <w:sz w:val="20"/>
                <w:szCs w:val="20"/>
              </w:rPr>
              <w:t xml:space="preserve"> costs and revising </w:t>
            </w:r>
            <w:r w:rsidR="00275CF6">
              <w:rPr>
                <w:sz w:val="20"/>
                <w:szCs w:val="20"/>
              </w:rPr>
              <w:t xml:space="preserve">the </w:t>
            </w:r>
            <w:r w:rsidR="003B0306" w:rsidRPr="005277C3">
              <w:rPr>
                <w:sz w:val="20"/>
                <w:szCs w:val="20"/>
              </w:rPr>
              <w:t>distribution key used to attribute CDS costs to products</w:t>
            </w:r>
          </w:p>
        </w:tc>
        <w:tc>
          <w:tcPr>
            <w:tcW w:w="0" w:type="auto"/>
          </w:tcPr>
          <w:p w14:paraId="040DE8CA" w14:textId="2EBC3433" w:rsidR="00765066" w:rsidRPr="005277C3" w:rsidRDefault="00C21F57"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6307</w:t>
            </w:r>
          </w:p>
        </w:tc>
      </w:tr>
      <w:tr w:rsidR="00F26EF2" w14:paraId="0FE758DD" w14:textId="259B49B3" w:rsidTr="0048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2B61DAD" w14:textId="66BC0930" w:rsidR="00765066" w:rsidRPr="005277C3" w:rsidRDefault="00765066" w:rsidP="0003416E">
            <w:pPr>
              <w:pStyle w:val="NormalLeft"/>
              <w:spacing w:after="240"/>
              <w:rPr>
                <w:b w:val="0"/>
                <w:bCs w:val="0"/>
                <w:sz w:val="20"/>
                <w:szCs w:val="20"/>
              </w:rPr>
            </w:pPr>
            <w:r w:rsidRPr="005277C3">
              <w:rPr>
                <w:sz w:val="20"/>
                <w:szCs w:val="20"/>
              </w:rPr>
              <w:t>RM2022-10</w:t>
            </w:r>
          </w:p>
        </w:tc>
        <w:tc>
          <w:tcPr>
            <w:tcW w:w="1080" w:type="dxa"/>
          </w:tcPr>
          <w:p w14:paraId="1F9D1CE3" w14:textId="539861B5"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Four</w:t>
            </w:r>
          </w:p>
        </w:tc>
        <w:tc>
          <w:tcPr>
            <w:tcW w:w="9312" w:type="dxa"/>
          </w:tcPr>
          <w:p w14:paraId="6969FC4B" w14:textId="5716E749" w:rsidR="00765066" w:rsidRPr="005277C3" w:rsidRDefault="00FE0810" w:rsidP="0003416E">
            <w:pPr>
              <w:pStyle w:val="NormalLeft"/>
              <w:spacing w:after="2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Adopting changes</w:t>
            </w:r>
            <w:r w:rsidR="009E4726" w:rsidRPr="005277C3">
              <w:rPr>
                <w:sz w:val="20"/>
                <w:szCs w:val="20"/>
              </w:rPr>
              <w:t xml:space="preserve"> designed to streamline and improve</w:t>
            </w:r>
            <w:r w:rsidR="001811C0">
              <w:rPr>
                <w:sz w:val="20"/>
                <w:szCs w:val="20"/>
              </w:rPr>
              <w:t xml:space="preserve"> the</w:t>
            </w:r>
            <w:r w:rsidRPr="005277C3">
              <w:rPr>
                <w:sz w:val="20"/>
                <w:szCs w:val="20"/>
              </w:rPr>
              <w:t xml:space="preserve"> </w:t>
            </w:r>
            <w:r w:rsidR="009E4726" w:rsidRPr="005277C3">
              <w:rPr>
                <w:sz w:val="20"/>
                <w:szCs w:val="20"/>
              </w:rPr>
              <w:t>International Cost and Revenue Analysis (ICRA) Report</w:t>
            </w:r>
          </w:p>
        </w:tc>
        <w:tc>
          <w:tcPr>
            <w:tcW w:w="0" w:type="auto"/>
          </w:tcPr>
          <w:p w14:paraId="516730E4" w14:textId="0D6FDFD2"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6279</w:t>
            </w:r>
          </w:p>
        </w:tc>
      </w:tr>
      <w:tr w:rsidR="00765066" w14:paraId="3C75BB46" w14:textId="6340924C" w:rsidTr="00485600">
        <w:tc>
          <w:tcPr>
            <w:cnfStyle w:val="001000000000" w:firstRow="0" w:lastRow="0" w:firstColumn="1" w:lastColumn="0" w:oddVBand="0" w:evenVBand="0" w:oddHBand="0" w:evenHBand="0" w:firstRowFirstColumn="0" w:firstRowLastColumn="0" w:lastRowFirstColumn="0" w:lastRowLastColumn="0"/>
            <w:tcW w:w="1345" w:type="dxa"/>
          </w:tcPr>
          <w:p w14:paraId="07DB8CE7" w14:textId="1D20FB1F" w:rsidR="00765066" w:rsidRPr="005277C3" w:rsidRDefault="00765066" w:rsidP="0003416E">
            <w:pPr>
              <w:pStyle w:val="NormalLeft"/>
              <w:spacing w:after="240"/>
              <w:rPr>
                <w:b w:val="0"/>
                <w:bCs w:val="0"/>
                <w:sz w:val="20"/>
                <w:szCs w:val="20"/>
              </w:rPr>
            </w:pPr>
            <w:r w:rsidRPr="005277C3">
              <w:rPr>
                <w:sz w:val="20"/>
                <w:szCs w:val="20"/>
              </w:rPr>
              <w:t>RM2022-9</w:t>
            </w:r>
          </w:p>
        </w:tc>
        <w:tc>
          <w:tcPr>
            <w:tcW w:w="1080" w:type="dxa"/>
          </w:tcPr>
          <w:p w14:paraId="0CB93AF6" w14:textId="108F57EC" w:rsidR="00765066" w:rsidRPr="005277C3" w:rsidRDefault="00765066"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Three</w:t>
            </w:r>
          </w:p>
        </w:tc>
        <w:tc>
          <w:tcPr>
            <w:tcW w:w="9312" w:type="dxa"/>
          </w:tcPr>
          <w:p w14:paraId="391795F5" w14:textId="4C6FD2D0" w:rsidR="00765066" w:rsidRPr="005277C3" w:rsidRDefault="002E60DD" w:rsidP="0003416E">
            <w:pPr>
              <w:pStyle w:val="NormalLeft"/>
              <w:spacing w:after="2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 xml:space="preserve">Modifying Revenue, Pieces, and Weight (RPW) reporting methodology </w:t>
            </w:r>
            <w:r w:rsidR="00F2474B" w:rsidRPr="005277C3">
              <w:rPr>
                <w:sz w:val="20"/>
                <w:szCs w:val="20"/>
              </w:rPr>
              <w:t>for measuring country-level totals of cont</w:t>
            </w:r>
            <w:r w:rsidR="001E31E4" w:rsidRPr="005277C3">
              <w:rPr>
                <w:sz w:val="20"/>
                <w:szCs w:val="20"/>
              </w:rPr>
              <w:t>r</w:t>
            </w:r>
            <w:r w:rsidR="00F2474B" w:rsidRPr="005277C3">
              <w:rPr>
                <w:sz w:val="20"/>
                <w:szCs w:val="20"/>
              </w:rPr>
              <w:t xml:space="preserve">act mailpieces in outbound international product categories bearing </w:t>
            </w:r>
            <w:r w:rsidR="006A7391" w:rsidRPr="005277C3">
              <w:rPr>
                <w:sz w:val="20"/>
                <w:szCs w:val="20"/>
              </w:rPr>
              <w:t xml:space="preserve">permit-imprint indicia by replacing sampling estimates </w:t>
            </w:r>
            <w:r w:rsidR="001E31E4" w:rsidRPr="005277C3">
              <w:rPr>
                <w:sz w:val="20"/>
                <w:szCs w:val="20"/>
              </w:rPr>
              <w:t>with granular census data</w:t>
            </w:r>
          </w:p>
        </w:tc>
        <w:tc>
          <w:tcPr>
            <w:tcW w:w="0" w:type="auto"/>
          </w:tcPr>
          <w:p w14:paraId="3F396725" w14:textId="1B14DDAD" w:rsidR="00765066" w:rsidRPr="005277C3" w:rsidRDefault="00765066"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6272</w:t>
            </w:r>
          </w:p>
        </w:tc>
      </w:tr>
      <w:tr w:rsidR="00F26EF2" w14:paraId="6DB5BB76" w14:textId="0CFEFE9F" w:rsidTr="0048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056C4ED" w14:textId="358DEE61" w:rsidR="00765066" w:rsidRPr="005277C3" w:rsidRDefault="00765066" w:rsidP="0003416E">
            <w:pPr>
              <w:pStyle w:val="NormalLeft"/>
              <w:spacing w:after="240"/>
              <w:rPr>
                <w:b w:val="0"/>
                <w:bCs w:val="0"/>
                <w:sz w:val="20"/>
                <w:szCs w:val="20"/>
              </w:rPr>
            </w:pPr>
            <w:r w:rsidRPr="005277C3">
              <w:rPr>
                <w:sz w:val="20"/>
                <w:szCs w:val="20"/>
              </w:rPr>
              <w:t>RM2022-8</w:t>
            </w:r>
          </w:p>
        </w:tc>
        <w:tc>
          <w:tcPr>
            <w:tcW w:w="1080" w:type="dxa"/>
          </w:tcPr>
          <w:p w14:paraId="4BCDB1C8" w14:textId="5B7423A4"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Two</w:t>
            </w:r>
          </w:p>
        </w:tc>
        <w:tc>
          <w:tcPr>
            <w:tcW w:w="9312" w:type="dxa"/>
          </w:tcPr>
          <w:p w14:paraId="2D2A1EE6" w14:textId="1CE6F8DB" w:rsidR="00765066" w:rsidRPr="005277C3" w:rsidRDefault="00600F77" w:rsidP="0003416E">
            <w:pPr>
              <w:pStyle w:val="NormalLeft"/>
              <w:spacing w:after="2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U</w:t>
            </w:r>
            <w:r w:rsidR="00041384" w:rsidRPr="005277C3">
              <w:rPr>
                <w:sz w:val="20"/>
                <w:szCs w:val="20"/>
              </w:rPr>
              <w:t>pdat</w:t>
            </w:r>
            <w:r w:rsidRPr="005277C3">
              <w:rPr>
                <w:sz w:val="20"/>
                <w:szCs w:val="20"/>
              </w:rPr>
              <w:t>ing</w:t>
            </w:r>
            <w:r w:rsidR="00041384" w:rsidRPr="005277C3">
              <w:rPr>
                <w:sz w:val="20"/>
                <w:szCs w:val="20"/>
              </w:rPr>
              <w:t xml:space="preserve"> variability analysis</w:t>
            </w:r>
            <w:r w:rsidRPr="005277C3">
              <w:rPr>
                <w:sz w:val="20"/>
                <w:szCs w:val="20"/>
              </w:rPr>
              <w:t xml:space="preserve"> used to attribute postmaster costs</w:t>
            </w:r>
          </w:p>
        </w:tc>
        <w:tc>
          <w:tcPr>
            <w:tcW w:w="0" w:type="auto"/>
          </w:tcPr>
          <w:p w14:paraId="2D7AC5AC" w14:textId="1C5BB672"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6280</w:t>
            </w:r>
          </w:p>
        </w:tc>
      </w:tr>
      <w:tr w:rsidR="00765066" w14:paraId="31E0AE20" w14:textId="6216414F" w:rsidTr="00485600">
        <w:tc>
          <w:tcPr>
            <w:cnfStyle w:val="001000000000" w:firstRow="0" w:lastRow="0" w:firstColumn="1" w:lastColumn="0" w:oddVBand="0" w:evenVBand="0" w:oddHBand="0" w:evenHBand="0" w:firstRowFirstColumn="0" w:firstRowLastColumn="0" w:lastRowFirstColumn="0" w:lastRowLastColumn="0"/>
            <w:tcW w:w="1345" w:type="dxa"/>
          </w:tcPr>
          <w:p w14:paraId="604ABCAD" w14:textId="30BCF407" w:rsidR="00765066" w:rsidRPr="005277C3" w:rsidRDefault="00765066" w:rsidP="0003416E">
            <w:pPr>
              <w:pStyle w:val="NormalLeft"/>
              <w:spacing w:after="240"/>
              <w:rPr>
                <w:b w:val="0"/>
                <w:bCs w:val="0"/>
                <w:sz w:val="20"/>
                <w:szCs w:val="20"/>
              </w:rPr>
            </w:pPr>
            <w:r w:rsidRPr="005277C3">
              <w:rPr>
                <w:sz w:val="20"/>
                <w:szCs w:val="20"/>
              </w:rPr>
              <w:t>RM2022-3</w:t>
            </w:r>
          </w:p>
        </w:tc>
        <w:tc>
          <w:tcPr>
            <w:tcW w:w="1080" w:type="dxa"/>
          </w:tcPr>
          <w:p w14:paraId="2E351A7B" w14:textId="61583F09" w:rsidR="00765066" w:rsidRPr="005277C3" w:rsidRDefault="00765066"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One</w:t>
            </w:r>
          </w:p>
        </w:tc>
        <w:tc>
          <w:tcPr>
            <w:tcW w:w="9312" w:type="dxa"/>
          </w:tcPr>
          <w:p w14:paraId="4645AE29" w14:textId="49D6D1EF" w:rsidR="00765066" w:rsidRPr="005277C3" w:rsidRDefault="005825E1" w:rsidP="0003416E">
            <w:pPr>
              <w:pStyle w:val="NormalLeft"/>
              <w:spacing w:after="2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 xml:space="preserve">Proposing to </w:t>
            </w:r>
            <w:r w:rsidR="00046BCA" w:rsidRPr="005277C3">
              <w:rPr>
                <w:sz w:val="20"/>
                <w:szCs w:val="20"/>
              </w:rPr>
              <w:t xml:space="preserve">update methodology for calculating attributable city carrier, letter route, street time costs by employing an overall top-down model </w:t>
            </w:r>
            <w:r w:rsidR="00673D74" w:rsidRPr="005277C3">
              <w:rPr>
                <w:sz w:val="20"/>
                <w:szCs w:val="20"/>
              </w:rPr>
              <w:t xml:space="preserve">relying </w:t>
            </w:r>
            <w:r w:rsidR="00DD4C80" w:rsidRPr="005277C3">
              <w:rPr>
                <w:sz w:val="20"/>
                <w:szCs w:val="20"/>
              </w:rPr>
              <w:t>on expanded operational carrier data</w:t>
            </w:r>
          </w:p>
        </w:tc>
        <w:tc>
          <w:tcPr>
            <w:tcW w:w="0" w:type="auto"/>
          </w:tcPr>
          <w:p w14:paraId="0AD4703C" w14:textId="30E32AF0" w:rsidR="00765066" w:rsidRPr="005277C3" w:rsidRDefault="00765066"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5277C3">
              <w:rPr>
                <w:sz w:val="20"/>
                <w:szCs w:val="20"/>
              </w:rPr>
              <w:t>Pending</w:t>
            </w:r>
          </w:p>
        </w:tc>
      </w:tr>
      <w:tr w:rsidR="00765066" w14:paraId="0AC7B381" w14:textId="61A1DF1F" w:rsidTr="0048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0A78564" w14:textId="51D0D4E9" w:rsidR="00765066" w:rsidRPr="005277C3" w:rsidRDefault="00765066" w:rsidP="0003416E">
            <w:pPr>
              <w:pStyle w:val="NormalLeft"/>
              <w:spacing w:after="240"/>
              <w:rPr>
                <w:b w:val="0"/>
                <w:bCs w:val="0"/>
                <w:sz w:val="20"/>
                <w:szCs w:val="20"/>
              </w:rPr>
            </w:pPr>
            <w:r w:rsidRPr="005277C3">
              <w:rPr>
                <w:sz w:val="20"/>
                <w:szCs w:val="20"/>
              </w:rPr>
              <w:t>RM2021-8</w:t>
            </w:r>
          </w:p>
        </w:tc>
        <w:tc>
          <w:tcPr>
            <w:tcW w:w="1080" w:type="dxa"/>
          </w:tcPr>
          <w:p w14:paraId="65B53015" w14:textId="20799373"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Five</w:t>
            </w:r>
          </w:p>
        </w:tc>
        <w:tc>
          <w:tcPr>
            <w:tcW w:w="9312" w:type="dxa"/>
          </w:tcPr>
          <w:p w14:paraId="73027F0D" w14:textId="6DE47EB5" w:rsidR="00765066" w:rsidRPr="005277C3" w:rsidRDefault="009001F2" w:rsidP="0003416E">
            <w:pPr>
              <w:pStyle w:val="NormalLeft"/>
              <w:spacing w:after="2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A</w:t>
            </w:r>
            <w:r w:rsidR="00D0259D" w:rsidRPr="005277C3">
              <w:rPr>
                <w:sz w:val="20"/>
                <w:szCs w:val="20"/>
              </w:rPr>
              <w:t xml:space="preserve">pproving </w:t>
            </w:r>
            <w:r w:rsidR="00404A85" w:rsidRPr="005277C3">
              <w:rPr>
                <w:sz w:val="20"/>
                <w:szCs w:val="20"/>
              </w:rPr>
              <w:t>separate treatment of international surface transportation expenses to Canada in periodic reports</w:t>
            </w:r>
            <w:r w:rsidR="009E30EA" w:rsidRPr="005277C3">
              <w:rPr>
                <w:sz w:val="20"/>
                <w:szCs w:val="20"/>
              </w:rPr>
              <w:t xml:space="preserve">, and approving use of additional </w:t>
            </w:r>
            <w:r w:rsidR="003E7EFB" w:rsidRPr="005277C3">
              <w:rPr>
                <w:sz w:val="20"/>
                <w:szCs w:val="20"/>
              </w:rPr>
              <w:t xml:space="preserve">Foreign Postal Settlement (FPS) data to more accurately distribute international surface transportation </w:t>
            </w:r>
            <w:r w:rsidR="003F080B" w:rsidRPr="005277C3">
              <w:rPr>
                <w:sz w:val="20"/>
                <w:szCs w:val="20"/>
              </w:rPr>
              <w:t>expenses to Canada</w:t>
            </w:r>
          </w:p>
        </w:tc>
        <w:tc>
          <w:tcPr>
            <w:tcW w:w="0" w:type="auto"/>
          </w:tcPr>
          <w:p w14:paraId="19F9949C" w14:textId="2F939C15" w:rsidR="00765066" w:rsidRPr="005277C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5277C3">
              <w:rPr>
                <w:sz w:val="20"/>
                <w:szCs w:val="20"/>
              </w:rPr>
              <w:t>6033</w:t>
            </w:r>
          </w:p>
        </w:tc>
      </w:tr>
      <w:tr w:rsidR="00F26EF2" w14:paraId="3839B92D" w14:textId="77777777" w:rsidTr="00485600">
        <w:tc>
          <w:tcPr>
            <w:cnfStyle w:val="001000000000" w:firstRow="0" w:lastRow="0" w:firstColumn="1" w:lastColumn="0" w:oddVBand="0" w:evenVBand="0" w:oddHBand="0" w:evenHBand="0" w:firstRowFirstColumn="0" w:firstRowLastColumn="0" w:lastRowFirstColumn="0" w:lastRowLastColumn="0"/>
            <w:tcW w:w="1345" w:type="dxa"/>
          </w:tcPr>
          <w:p w14:paraId="60B4EB58" w14:textId="44D511C9" w:rsidR="009E1419" w:rsidRPr="005277C3" w:rsidRDefault="009E1419" w:rsidP="0003416E">
            <w:pPr>
              <w:pStyle w:val="NormalLeft"/>
              <w:spacing w:after="240"/>
              <w:rPr>
                <w:b w:val="0"/>
                <w:bCs w:val="0"/>
                <w:sz w:val="20"/>
                <w:szCs w:val="20"/>
              </w:rPr>
            </w:pPr>
            <w:r w:rsidRPr="00816167">
              <w:rPr>
                <w:sz w:val="20"/>
                <w:szCs w:val="20"/>
              </w:rPr>
              <w:t>RM2021-3</w:t>
            </w:r>
          </w:p>
        </w:tc>
        <w:tc>
          <w:tcPr>
            <w:tcW w:w="1080" w:type="dxa"/>
          </w:tcPr>
          <w:p w14:paraId="17B56C55" w14:textId="180B4127" w:rsidR="009E1419" w:rsidRPr="00F635F3" w:rsidRDefault="009E1419"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F635F3">
              <w:rPr>
                <w:sz w:val="20"/>
                <w:szCs w:val="20"/>
              </w:rPr>
              <w:t>One</w:t>
            </w:r>
          </w:p>
        </w:tc>
        <w:tc>
          <w:tcPr>
            <w:tcW w:w="9312" w:type="dxa"/>
          </w:tcPr>
          <w:p w14:paraId="2609B8CB" w14:textId="127F1061" w:rsidR="009E1419" w:rsidRPr="00F635F3" w:rsidRDefault="005825E1" w:rsidP="0003416E">
            <w:pPr>
              <w:pStyle w:val="NormalLeft"/>
              <w:spacing w:after="2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635F3">
              <w:rPr>
                <w:sz w:val="20"/>
                <w:szCs w:val="20"/>
              </w:rPr>
              <w:t xml:space="preserve">Proposing to </w:t>
            </w:r>
            <w:r w:rsidR="00D7130C" w:rsidRPr="00F635F3">
              <w:rPr>
                <w:sz w:val="20"/>
                <w:szCs w:val="20"/>
              </w:rPr>
              <w:t>update</w:t>
            </w:r>
            <w:r w:rsidR="00B97BB8" w:rsidRPr="00F635F3">
              <w:rPr>
                <w:sz w:val="20"/>
                <w:szCs w:val="20"/>
              </w:rPr>
              <w:t xml:space="preserve"> methodology for estimating revenue, pieces, and weight for domestic products reported in the Revenue, Pieces, and Weight </w:t>
            </w:r>
            <w:r w:rsidR="007030D0" w:rsidRPr="00F635F3">
              <w:rPr>
                <w:sz w:val="20"/>
                <w:szCs w:val="20"/>
              </w:rPr>
              <w:t xml:space="preserve">(RPW) Report by </w:t>
            </w:r>
            <w:r w:rsidR="00AA44B8" w:rsidRPr="00F635F3">
              <w:rPr>
                <w:sz w:val="20"/>
                <w:szCs w:val="20"/>
              </w:rPr>
              <w:t xml:space="preserve">reducing </w:t>
            </w:r>
            <w:r w:rsidR="008B4CAE" w:rsidRPr="00F635F3">
              <w:rPr>
                <w:sz w:val="20"/>
                <w:szCs w:val="20"/>
              </w:rPr>
              <w:t xml:space="preserve">use of </w:t>
            </w:r>
            <w:r w:rsidR="00AA44B8" w:rsidRPr="00F635F3">
              <w:rPr>
                <w:sz w:val="20"/>
                <w:szCs w:val="20"/>
              </w:rPr>
              <w:t>sampling estimates</w:t>
            </w:r>
          </w:p>
        </w:tc>
        <w:tc>
          <w:tcPr>
            <w:tcW w:w="0" w:type="auto"/>
          </w:tcPr>
          <w:p w14:paraId="5E031B43" w14:textId="4B4AFF9C" w:rsidR="009E1419" w:rsidRPr="00F635F3" w:rsidRDefault="009E1419" w:rsidP="0003416E">
            <w:pPr>
              <w:pStyle w:val="NormalLeft"/>
              <w:spacing w:after="240"/>
              <w:cnfStyle w:val="000000000000" w:firstRow="0" w:lastRow="0" w:firstColumn="0" w:lastColumn="0" w:oddVBand="0" w:evenVBand="0" w:oddHBand="0" w:evenHBand="0" w:firstRowFirstColumn="0" w:firstRowLastColumn="0" w:lastRowFirstColumn="0" w:lastRowLastColumn="0"/>
              <w:rPr>
                <w:sz w:val="20"/>
                <w:szCs w:val="20"/>
              </w:rPr>
            </w:pPr>
            <w:r w:rsidRPr="00F635F3">
              <w:rPr>
                <w:sz w:val="20"/>
                <w:szCs w:val="20"/>
              </w:rPr>
              <w:t>Pending</w:t>
            </w:r>
          </w:p>
        </w:tc>
      </w:tr>
      <w:tr w:rsidR="00765066" w14:paraId="4D79B5AF" w14:textId="1C3874AE" w:rsidTr="0048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8D0D5C0" w14:textId="516B8DDC" w:rsidR="00765066" w:rsidRPr="005277C3" w:rsidRDefault="00765066" w:rsidP="0003416E">
            <w:pPr>
              <w:pStyle w:val="NormalLeft"/>
              <w:spacing w:after="240"/>
              <w:rPr>
                <w:b w:val="0"/>
                <w:bCs w:val="0"/>
                <w:sz w:val="20"/>
                <w:szCs w:val="20"/>
              </w:rPr>
            </w:pPr>
            <w:r w:rsidRPr="00816167">
              <w:rPr>
                <w:sz w:val="20"/>
                <w:szCs w:val="20"/>
              </w:rPr>
              <w:lastRenderedPageBreak/>
              <w:t>RM2020-13</w:t>
            </w:r>
          </w:p>
        </w:tc>
        <w:tc>
          <w:tcPr>
            <w:tcW w:w="1080" w:type="dxa"/>
          </w:tcPr>
          <w:p w14:paraId="1EA4EE89" w14:textId="30DE7A9B" w:rsidR="00765066" w:rsidRPr="00F635F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F635F3">
              <w:rPr>
                <w:sz w:val="20"/>
                <w:szCs w:val="20"/>
              </w:rPr>
              <w:t>Six</w:t>
            </w:r>
          </w:p>
        </w:tc>
        <w:tc>
          <w:tcPr>
            <w:tcW w:w="9312" w:type="dxa"/>
          </w:tcPr>
          <w:p w14:paraId="385FB1B2" w14:textId="28800F67" w:rsidR="00765066" w:rsidRPr="00F635F3" w:rsidRDefault="000111D1" w:rsidP="0003416E">
            <w:pPr>
              <w:pStyle w:val="NormalLeft"/>
              <w:spacing w:after="2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635F3">
              <w:rPr>
                <w:sz w:val="20"/>
                <w:szCs w:val="20"/>
              </w:rPr>
              <w:t>Denying propos</w:t>
            </w:r>
            <w:r w:rsidR="00475688" w:rsidRPr="00F635F3">
              <w:rPr>
                <w:sz w:val="20"/>
                <w:szCs w:val="20"/>
              </w:rPr>
              <w:t>al to implement</w:t>
            </w:r>
            <w:r w:rsidR="00D54649" w:rsidRPr="00F635F3">
              <w:rPr>
                <w:sz w:val="20"/>
                <w:szCs w:val="20"/>
              </w:rPr>
              <w:t xml:space="preserve"> new methodology for estimating volume variabilities for certain mail processing </w:t>
            </w:r>
            <w:r w:rsidR="00475688" w:rsidRPr="00F635F3">
              <w:rPr>
                <w:sz w:val="20"/>
                <w:szCs w:val="20"/>
              </w:rPr>
              <w:t>cost pools</w:t>
            </w:r>
          </w:p>
        </w:tc>
        <w:tc>
          <w:tcPr>
            <w:tcW w:w="0" w:type="auto"/>
          </w:tcPr>
          <w:p w14:paraId="3CE0F22E" w14:textId="2B0D15FE" w:rsidR="00765066" w:rsidRPr="00F635F3" w:rsidRDefault="00765066" w:rsidP="0003416E">
            <w:pPr>
              <w:pStyle w:val="NormalLeft"/>
              <w:spacing w:after="240"/>
              <w:cnfStyle w:val="000000100000" w:firstRow="0" w:lastRow="0" w:firstColumn="0" w:lastColumn="0" w:oddVBand="0" w:evenVBand="0" w:oddHBand="1" w:evenHBand="0" w:firstRowFirstColumn="0" w:firstRowLastColumn="0" w:lastRowFirstColumn="0" w:lastRowLastColumn="0"/>
              <w:rPr>
                <w:sz w:val="20"/>
                <w:szCs w:val="20"/>
              </w:rPr>
            </w:pPr>
            <w:r w:rsidRPr="00F635F3">
              <w:rPr>
                <w:sz w:val="20"/>
                <w:szCs w:val="20"/>
              </w:rPr>
              <w:t>6096</w:t>
            </w:r>
          </w:p>
        </w:tc>
      </w:tr>
    </w:tbl>
    <w:p w14:paraId="19592D0E" w14:textId="3D69FDE2" w:rsidR="00506D81" w:rsidRPr="0003416E" w:rsidRDefault="00506D81" w:rsidP="003A6824">
      <w:pPr>
        <w:pStyle w:val="NormalLeft"/>
        <w:spacing w:before="120" w:after="120" w:line="240" w:lineRule="auto"/>
        <w:rPr>
          <w:b/>
          <w:bCs/>
          <w:sz w:val="20"/>
          <w:szCs w:val="20"/>
        </w:rPr>
      </w:pPr>
      <w:r w:rsidRPr="005277C3">
        <w:rPr>
          <w:bCs/>
          <w:sz w:val="20"/>
          <w:szCs w:val="20"/>
        </w:rPr>
        <w:t>Note</w:t>
      </w:r>
      <w:r w:rsidR="00245CBA" w:rsidRPr="005277C3">
        <w:rPr>
          <w:bCs/>
          <w:sz w:val="20"/>
          <w:szCs w:val="20"/>
        </w:rPr>
        <w:t>*</w:t>
      </w:r>
      <w:r w:rsidRPr="005277C3">
        <w:rPr>
          <w:bCs/>
          <w:sz w:val="20"/>
          <w:szCs w:val="20"/>
        </w:rPr>
        <w:t>:</w:t>
      </w:r>
      <w:r w:rsidRPr="0065541E">
        <w:rPr>
          <w:bCs/>
          <w:sz w:val="20"/>
          <w:szCs w:val="20"/>
        </w:rPr>
        <w:t xml:space="preserve"> </w:t>
      </w:r>
      <w:r w:rsidRPr="0003416E">
        <w:rPr>
          <w:sz w:val="20"/>
          <w:szCs w:val="20"/>
        </w:rPr>
        <w:t>Proposals to change accepted analytical principles pursuant to 39 C.F.R. § 3050.11 are sequentially numbered per party per the fiscal year in which the proposal is filed.  For example, the first proposal filed by the Postal Service in a given fiscal year is referred to as “Postal Service Proposal One,” and this numbering sequence restarts each fiscal year.</w:t>
      </w:r>
    </w:p>
    <w:p w14:paraId="5568C300" w14:textId="53D173D0" w:rsidR="00176F73" w:rsidRPr="006558D4" w:rsidRDefault="00E70EDE" w:rsidP="003A6824">
      <w:pPr>
        <w:pStyle w:val="NormalLeft"/>
        <w:spacing w:before="120" w:after="120" w:line="240" w:lineRule="auto"/>
        <w:rPr>
          <w:sz w:val="20"/>
          <w:szCs w:val="20"/>
        </w:rPr>
        <w:sectPr w:rsidR="00176F73" w:rsidRPr="006558D4" w:rsidSect="00176F73">
          <w:headerReference w:type="default" r:id="rId15"/>
          <w:headerReference w:type="first" r:id="rId16"/>
          <w:pgSz w:w="15840" w:h="12240" w:orient="landscape" w:code="1"/>
          <w:pgMar w:top="1440" w:right="1440" w:bottom="1440" w:left="1440" w:header="1440" w:footer="1440" w:gutter="0"/>
          <w:cols w:space="720"/>
          <w:titlePg/>
          <w:docGrid w:linePitch="360"/>
        </w:sectPr>
      </w:pPr>
      <w:r w:rsidRPr="005277C3">
        <w:rPr>
          <w:sz w:val="20"/>
          <w:szCs w:val="20"/>
        </w:rPr>
        <w:t xml:space="preserve">Sources: </w:t>
      </w:r>
      <w:r w:rsidRPr="006558D4">
        <w:rPr>
          <w:sz w:val="20"/>
          <w:szCs w:val="20"/>
        </w:rPr>
        <w:t>Docket No. RM2022-13, Order on Analytical Principles Used in Periodic Reporting (Proposal Six), November 3, 2022 (Order No. 6322);</w:t>
      </w:r>
      <w:r w:rsidR="00121ED1" w:rsidRPr="006558D4">
        <w:rPr>
          <w:sz w:val="20"/>
          <w:szCs w:val="20"/>
        </w:rPr>
        <w:t xml:space="preserve"> </w:t>
      </w:r>
      <w:r w:rsidR="007C24E0" w:rsidRPr="006558D4">
        <w:rPr>
          <w:sz w:val="20"/>
          <w:szCs w:val="20"/>
        </w:rPr>
        <w:t xml:space="preserve">Docket No. RM2022-11, </w:t>
      </w:r>
      <w:r w:rsidR="00145BFB" w:rsidRPr="006558D4">
        <w:rPr>
          <w:sz w:val="20"/>
          <w:szCs w:val="20"/>
        </w:rPr>
        <w:t xml:space="preserve">Order Approving Analytical Principles Used in Periodic Reporting (Proposal Five), </w:t>
      </w:r>
      <w:r w:rsidR="00C55000" w:rsidRPr="006558D4">
        <w:rPr>
          <w:sz w:val="20"/>
          <w:szCs w:val="20"/>
        </w:rPr>
        <w:t xml:space="preserve">October 20, 2022 (Order No. 6307); </w:t>
      </w:r>
      <w:r w:rsidR="001B16A8" w:rsidRPr="006558D4">
        <w:rPr>
          <w:sz w:val="20"/>
          <w:szCs w:val="20"/>
        </w:rPr>
        <w:t>Docket No. RM</w:t>
      </w:r>
      <w:r w:rsidR="006446CE" w:rsidRPr="006558D4">
        <w:rPr>
          <w:sz w:val="20"/>
          <w:szCs w:val="20"/>
        </w:rPr>
        <w:t xml:space="preserve">2022-10, Order Approving Analytical Principles Used in Periodic Reporting (Proposal Four), September 23, 2022 (Order No. 6279); </w:t>
      </w:r>
      <w:r w:rsidR="008173BA" w:rsidRPr="006558D4">
        <w:rPr>
          <w:sz w:val="20"/>
          <w:szCs w:val="20"/>
        </w:rPr>
        <w:t xml:space="preserve">Docket No. RM2022-9, Order on Analytical Principles Used in Periodic Reporting (Proposal Three), </w:t>
      </w:r>
      <w:r w:rsidR="00225DED" w:rsidRPr="006558D4">
        <w:rPr>
          <w:sz w:val="20"/>
          <w:szCs w:val="20"/>
        </w:rPr>
        <w:t xml:space="preserve">September 12, 2022 (Order No. 6272); </w:t>
      </w:r>
      <w:r w:rsidR="004E0944" w:rsidRPr="006558D4">
        <w:rPr>
          <w:sz w:val="20"/>
          <w:szCs w:val="20"/>
        </w:rPr>
        <w:t xml:space="preserve">Docket No. RM2022-8, Order on Analytical Principles Used in Periodic Reporting </w:t>
      </w:r>
      <w:r w:rsidR="006F11A4" w:rsidRPr="006558D4">
        <w:rPr>
          <w:sz w:val="20"/>
          <w:szCs w:val="20"/>
        </w:rPr>
        <w:t xml:space="preserve">(Proposal Two), September 23, 2022 (Order No. 6280); </w:t>
      </w:r>
      <w:r w:rsidR="005B0BA5" w:rsidRPr="006558D4">
        <w:rPr>
          <w:sz w:val="20"/>
          <w:szCs w:val="20"/>
        </w:rPr>
        <w:t>Docket No. RM2022-3</w:t>
      </w:r>
      <w:r w:rsidR="0043523B" w:rsidRPr="006558D4">
        <w:rPr>
          <w:sz w:val="20"/>
          <w:szCs w:val="20"/>
        </w:rPr>
        <w:t xml:space="preserve">, Notice of Proposed Rulemaking on Analytical </w:t>
      </w:r>
      <w:r w:rsidR="00624176" w:rsidRPr="006558D4">
        <w:rPr>
          <w:sz w:val="20"/>
          <w:szCs w:val="20"/>
        </w:rPr>
        <w:t xml:space="preserve">Principles Used in Periodic Reporting (Proposal One), </w:t>
      </w:r>
      <w:r w:rsidR="006A0287" w:rsidRPr="006558D4">
        <w:rPr>
          <w:sz w:val="20"/>
          <w:szCs w:val="20"/>
        </w:rPr>
        <w:t>January 10, 2022 (Order N</w:t>
      </w:r>
      <w:r w:rsidR="00B709CD" w:rsidRPr="006558D4">
        <w:rPr>
          <w:sz w:val="20"/>
          <w:szCs w:val="20"/>
        </w:rPr>
        <w:t>o</w:t>
      </w:r>
      <w:r w:rsidR="006A0287" w:rsidRPr="006558D4">
        <w:rPr>
          <w:sz w:val="20"/>
          <w:szCs w:val="20"/>
        </w:rPr>
        <w:t xml:space="preserve">. 6090); </w:t>
      </w:r>
      <w:r w:rsidR="00BC212B" w:rsidRPr="006558D4">
        <w:rPr>
          <w:sz w:val="20"/>
          <w:szCs w:val="20"/>
        </w:rPr>
        <w:t>Docket No. RM2021-8</w:t>
      </w:r>
      <w:r w:rsidR="00A42056" w:rsidRPr="006558D4">
        <w:rPr>
          <w:sz w:val="20"/>
          <w:szCs w:val="20"/>
        </w:rPr>
        <w:t xml:space="preserve">, Order on Analytical Principles Used in Periodic Reporting (Proposal Five), </w:t>
      </w:r>
      <w:r w:rsidR="001A01CB" w:rsidRPr="006558D4">
        <w:rPr>
          <w:sz w:val="20"/>
          <w:szCs w:val="20"/>
        </w:rPr>
        <w:t xml:space="preserve">November 5, 2021 (Order No. 6033); </w:t>
      </w:r>
      <w:r w:rsidR="00CE62C0" w:rsidRPr="006558D4">
        <w:rPr>
          <w:sz w:val="20"/>
          <w:szCs w:val="20"/>
        </w:rPr>
        <w:t>Docket No. RM2021-3, Notice of Proposed Rulemaking on Analytical Principles Used in Periodic Reporting (Proposal One), March 16, 2021</w:t>
      </w:r>
      <w:r w:rsidR="00F22068" w:rsidRPr="006558D4">
        <w:rPr>
          <w:sz w:val="20"/>
          <w:szCs w:val="20"/>
        </w:rPr>
        <w:t xml:space="preserve"> (Order No. 5847); </w:t>
      </w:r>
      <w:r w:rsidR="00FC576C" w:rsidRPr="006558D4">
        <w:rPr>
          <w:sz w:val="20"/>
          <w:szCs w:val="20"/>
        </w:rPr>
        <w:t>Docket No. RM</w:t>
      </w:r>
      <w:r w:rsidR="00194E04" w:rsidRPr="006558D4">
        <w:rPr>
          <w:sz w:val="20"/>
          <w:szCs w:val="20"/>
        </w:rPr>
        <w:t xml:space="preserve">2020-13, Order on Analytical Principles </w:t>
      </w:r>
      <w:r w:rsidR="00005425" w:rsidRPr="006558D4">
        <w:rPr>
          <w:sz w:val="20"/>
          <w:szCs w:val="20"/>
        </w:rPr>
        <w:t xml:space="preserve">Used </w:t>
      </w:r>
      <w:r w:rsidR="00194E04" w:rsidRPr="006558D4">
        <w:rPr>
          <w:sz w:val="20"/>
          <w:szCs w:val="20"/>
        </w:rPr>
        <w:t>in Periodic Reporting (Proposal Six), January 26, 2022 (Order No. 6096).</w:t>
      </w:r>
    </w:p>
    <w:p w14:paraId="3CC273B3" w14:textId="4D74332E" w:rsidR="00713290" w:rsidRPr="005A63D3" w:rsidRDefault="00713290" w:rsidP="00944446">
      <w:pPr>
        <w:pStyle w:val="Heading1"/>
        <w:numPr>
          <w:ilvl w:val="0"/>
          <w:numId w:val="6"/>
        </w:numPr>
        <w:rPr>
          <w:b/>
        </w:rPr>
      </w:pPr>
      <w:r w:rsidRPr="005A63D3">
        <w:lastRenderedPageBreak/>
        <w:t>INVITATION TO COMMENT</w:t>
      </w:r>
    </w:p>
    <w:p w14:paraId="35C9AED3" w14:textId="746E7E94" w:rsidR="00DD10E4" w:rsidRPr="005A63D3" w:rsidRDefault="009F74EA" w:rsidP="00CF177D">
      <w:pPr>
        <w:pStyle w:val="NormalLeft"/>
        <w:ind w:firstLine="720"/>
      </w:pPr>
      <w:r w:rsidRPr="005A63D3">
        <w:t xml:space="preserve">The Commission invites interested persons to comment on </w:t>
      </w:r>
      <w:r w:rsidR="00B6676A" w:rsidRPr="005A63D3">
        <w:t xml:space="preserve">regulations related to </w:t>
      </w:r>
      <w:r w:rsidR="00BC15EC" w:rsidRPr="005A63D3">
        <w:t>Postal Service cost attribution</w:t>
      </w:r>
      <w:r w:rsidR="002F59B6" w:rsidRPr="005A63D3">
        <w:t xml:space="preserve"> as </w:t>
      </w:r>
      <w:r w:rsidR="00B63B25" w:rsidRPr="005A63D3">
        <w:t>identified</w:t>
      </w:r>
      <w:r w:rsidR="002F59B6" w:rsidRPr="005A63D3">
        <w:t xml:space="preserve"> in Table II-I, </w:t>
      </w:r>
      <w:r w:rsidR="002F59B6" w:rsidRPr="005A63D3">
        <w:rPr>
          <w:i/>
          <w:iCs w:val="0"/>
        </w:rPr>
        <w:t>sup</w:t>
      </w:r>
      <w:r w:rsidR="00B63B25" w:rsidRPr="005A63D3">
        <w:rPr>
          <w:i/>
          <w:iCs w:val="0"/>
        </w:rPr>
        <w:t>r</w:t>
      </w:r>
      <w:r w:rsidR="002F59B6" w:rsidRPr="005A63D3">
        <w:rPr>
          <w:i/>
          <w:iCs w:val="0"/>
        </w:rPr>
        <w:t>a</w:t>
      </w:r>
      <w:r w:rsidR="00F604CF" w:rsidRPr="005A63D3">
        <w:rPr>
          <w:i/>
          <w:iCs w:val="0"/>
        </w:rPr>
        <w:t xml:space="preserve">, </w:t>
      </w:r>
      <w:r w:rsidR="00BC15EC" w:rsidRPr="005A63D3">
        <w:t xml:space="preserve">as well as the </w:t>
      </w:r>
      <w:r w:rsidR="00F604CF" w:rsidRPr="005A63D3">
        <w:t xml:space="preserve">analytical principles (including </w:t>
      </w:r>
      <w:r w:rsidR="00BC15EC" w:rsidRPr="005A63D3">
        <w:t>costing methodologies</w:t>
      </w:r>
      <w:r w:rsidR="00F604CF" w:rsidRPr="005A63D3">
        <w:t xml:space="preserve"> or cost models)</w:t>
      </w:r>
      <w:r w:rsidR="00BC15EC" w:rsidRPr="005A63D3">
        <w:t xml:space="preserve"> </w:t>
      </w:r>
      <w:r w:rsidR="00B63B25" w:rsidRPr="005A63D3">
        <w:t>underlying</w:t>
      </w:r>
      <w:r w:rsidR="00BC15EC" w:rsidRPr="005A63D3">
        <w:t xml:space="preserve"> </w:t>
      </w:r>
      <w:r w:rsidR="00D809DE" w:rsidRPr="005A63D3">
        <w:t>postal</w:t>
      </w:r>
      <w:r w:rsidR="00F604CF" w:rsidRPr="005A63D3">
        <w:t xml:space="preserve"> </w:t>
      </w:r>
      <w:r w:rsidR="00C75FCF" w:rsidRPr="005A63D3">
        <w:t>cost attribution.</w:t>
      </w:r>
      <w:r w:rsidRPr="005A63D3">
        <w:t xml:space="preserve"> </w:t>
      </w:r>
      <w:r w:rsidR="00F604CF" w:rsidRPr="005A63D3">
        <w:t xml:space="preserve"> </w:t>
      </w:r>
      <w:r w:rsidR="00E23750" w:rsidRPr="005A63D3">
        <w:t xml:space="preserve">Comments </w:t>
      </w:r>
      <w:r w:rsidR="00B51346" w:rsidRPr="005A63D3">
        <w:t xml:space="preserve">should </w:t>
      </w:r>
      <w:r w:rsidR="00C53746" w:rsidRPr="005A63D3">
        <w:t>focus</w:t>
      </w:r>
      <w:r w:rsidR="0074231A" w:rsidRPr="005A63D3">
        <w:t xml:space="preserve"> </w:t>
      </w:r>
      <w:r w:rsidR="00C10D22" w:rsidRPr="005A63D3">
        <w:t xml:space="preserve">on </w:t>
      </w:r>
      <w:r w:rsidR="0074231A" w:rsidRPr="005A63D3">
        <w:t xml:space="preserve">whether revisions to </w:t>
      </w:r>
      <w:r w:rsidR="00405737" w:rsidRPr="005A63D3">
        <w:t>any</w:t>
      </w:r>
      <w:r w:rsidR="00C53746" w:rsidRPr="005A63D3">
        <w:t xml:space="preserve"> </w:t>
      </w:r>
      <w:r w:rsidR="0074231A" w:rsidRPr="005A63D3">
        <w:t>regulations</w:t>
      </w:r>
      <w:r w:rsidR="00405737" w:rsidRPr="005A63D3">
        <w:rPr>
          <w:i/>
          <w:iCs w:val="0"/>
        </w:rPr>
        <w:t xml:space="preserve"> </w:t>
      </w:r>
      <w:r w:rsidR="0074231A" w:rsidRPr="005A63D3">
        <w:t xml:space="preserve">or analytical principles are necessary </w:t>
      </w:r>
      <w:r w:rsidR="00F72BA2" w:rsidRPr="005A63D3">
        <w:t>“to ensure that all direct and indirect costs attributable to competitive and market-dominant products are properly attributed to those products</w:t>
      </w:r>
      <w:r w:rsidR="00426030">
        <w:t>....</w:t>
      </w:r>
      <w:r w:rsidR="0074231A" w:rsidRPr="005A63D3">
        <w:t>”</w:t>
      </w:r>
      <w:r w:rsidR="00C10D22" w:rsidRPr="005A63D3">
        <w:t xml:space="preserve"> </w:t>
      </w:r>
      <w:r w:rsidR="002A6678" w:rsidRPr="005A63D3">
        <w:t xml:space="preserve"> PSRA </w:t>
      </w:r>
      <w:r w:rsidR="009F34BC" w:rsidRPr="005A63D3">
        <w:t>§ </w:t>
      </w:r>
      <w:r w:rsidR="002A6678" w:rsidRPr="005A63D3">
        <w:t>203.</w:t>
      </w:r>
      <w:r w:rsidR="0032701C" w:rsidRPr="005A63D3">
        <w:t xml:space="preserve">  Commenters are reminded that the scope of this docket is focused on regulations and </w:t>
      </w:r>
      <w:r w:rsidR="00AC3D44" w:rsidRPr="005A63D3">
        <w:t>analytical principles</w:t>
      </w:r>
      <w:r w:rsidR="0032701C" w:rsidRPr="005A63D3">
        <w:t xml:space="preserve"> pertaining to cost attribution.  </w:t>
      </w:r>
      <w:r w:rsidR="0032701C" w:rsidRPr="005A63D3">
        <w:rPr>
          <w:i/>
          <w:iCs w:val="0"/>
        </w:rPr>
        <w:t xml:space="preserve">See </w:t>
      </w:r>
      <w:r w:rsidR="0032701C" w:rsidRPr="005A63D3">
        <w:t xml:space="preserve">n.3, </w:t>
      </w:r>
      <w:r w:rsidR="0032701C" w:rsidRPr="005A63D3">
        <w:rPr>
          <w:i/>
          <w:iCs w:val="0"/>
        </w:rPr>
        <w:t>supra</w:t>
      </w:r>
      <w:r w:rsidR="0032701C" w:rsidRPr="005A63D3">
        <w:t>.</w:t>
      </w:r>
    </w:p>
    <w:p w14:paraId="63C284CD" w14:textId="2C6E1B93" w:rsidR="00561CC2" w:rsidRPr="005A63D3" w:rsidRDefault="00561CC2" w:rsidP="00561CC2">
      <w:pPr>
        <w:pStyle w:val="Heading1"/>
        <w:numPr>
          <w:ilvl w:val="0"/>
          <w:numId w:val="6"/>
        </w:numPr>
      </w:pPr>
      <w:r w:rsidRPr="005A63D3">
        <w:t>Administrative actions</w:t>
      </w:r>
    </w:p>
    <w:p w14:paraId="2541F306" w14:textId="05EDEB91" w:rsidR="00C9079C" w:rsidRPr="005A63D3" w:rsidRDefault="00C9079C" w:rsidP="00CF177D">
      <w:r w:rsidRPr="005A63D3">
        <w:t xml:space="preserve">Pursuant to </w:t>
      </w:r>
      <w:r w:rsidR="00296FD0" w:rsidRPr="005A63D3">
        <w:t>s</w:t>
      </w:r>
      <w:r w:rsidRPr="005A63D3">
        <w:t>ection 203 of the PSRA, the Commission establishes Docket No. PI2023-2 in order to review regulations issued pursuant to 39 U.S.C.</w:t>
      </w:r>
      <w:r w:rsidRPr="005277C3">
        <w:t xml:space="preserve"> </w:t>
      </w:r>
      <w:r w:rsidR="00EF7DD3" w:rsidRPr="005277C3">
        <w:t xml:space="preserve">§§ </w:t>
      </w:r>
      <w:r w:rsidRPr="005277C3">
        <w:t>3633(a) and 3652(a)(1)</w:t>
      </w:r>
      <w:r w:rsidR="0032701C" w:rsidRPr="005277C3">
        <w:t xml:space="preserve"> relevant to the issue of postal cost attribution</w:t>
      </w:r>
      <w:r w:rsidRPr="005277C3">
        <w:t xml:space="preserve">, as well as </w:t>
      </w:r>
      <w:r w:rsidR="006D772D" w:rsidRPr="005277C3">
        <w:t xml:space="preserve">analytical principles (including </w:t>
      </w:r>
      <w:r w:rsidRPr="005277C3">
        <w:t>costing methodologies</w:t>
      </w:r>
      <w:r w:rsidR="006D772D" w:rsidRPr="005277C3">
        <w:t xml:space="preserve"> or cost models)</w:t>
      </w:r>
      <w:r w:rsidR="00296FD0" w:rsidRPr="005277C3">
        <w:t xml:space="preserve"> relevant to postal cost attribution</w:t>
      </w:r>
      <w:r w:rsidRPr="005A63D3">
        <w:t xml:space="preserve">.  The Commission intends to evaluate the comments received and use those suggestions to help carry out </w:t>
      </w:r>
      <w:r w:rsidR="008F5744" w:rsidRPr="005A63D3">
        <w:t>the</w:t>
      </w:r>
      <w:r w:rsidRPr="005A63D3">
        <w:t xml:space="preserve"> responsibilities described </w:t>
      </w:r>
      <w:r w:rsidR="00A56A79" w:rsidRPr="005A63D3">
        <w:t xml:space="preserve">in </w:t>
      </w:r>
      <w:r w:rsidR="001773A5" w:rsidRPr="005A63D3">
        <w:t>s</w:t>
      </w:r>
      <w:r w:rsidRPr="005A63D3">
        <w:t xml:space="preserve">ection 203 of the PSRA.  Comments are due no later than June </w:t>
      </w:r>
      <w:r w:rsidR="00A87085" w:rsidRPr="005A63D3">
        <w:t>14</w:t>
      </w:r>
      <w:r w:rsidRPr="005A63D3">
        <w:t xml:space="preserve">, 2023.  Reply comments are due no later than July </w:t>
      </w:r>
      <w:r w:rsidR="00A87085" w:rsidRPr="005A63D3">
        <w:t>14</w:t>
      </w:r>
      <w:r w:rsidRPr="005A63D3">
        <w:t>, 2023.</w:t>
      </w:r>
    </w:p>
    <w:p w14:paraId="6E14F855" w14:textId="4EC08904" w:rsidR="00C9079C" w:rsidRPr="005A63D3" w:rsidRDefault="00C9079C" w:rsidP="00CF177D">
      <w:r w:rsidRPr="005A63D3">
        <w:t xml:space="preserve">Comments and other material filed in this proceeding will be available for review on the Commission’s website, unless the information contained therein is subject to an application for non-public treatment. </w:t>
      </w:r>
      <w:r w:rsidR="00674C37" w:rsidRPr="005A63D3">
        <w:t xml:space="preserve"> </w:t>
      </w:r>
      <w:r w:rsidRPr="005A63D3">
        <w:t>The Commission</w:t>
      </w:r>
      <w:r w:rsidR="0003216B">
        <w:t>’</w:t>
      </w:r>
      <w:r w:rsidRPr="005A63D3">
        <w:t>s rules on non-public materials (including access to documents filed under seal) appear in 39 C</w:t>
      </w:r>
      <w:r w:rsidR="005B1CB6" w:rsidRPr="005A63D3">
        <w:t>.</w:t>
      </w:r>
      <w:r w:rsidRPr="005A63D3">
        <w:t>F</w:t>
      </w:r>
      <w:r w:rsidR="005B1CB6" w:rsidRPr="005A63D3">
        <w:t>.</w:t>
      </w:r>
      <w:r w:rsidRPr="005A63D3">
        <w:t>R</w:t>
      </w:r>
      <w:r w:rsidR="005B1CB6" w:rsidRPr="005A63D3">
        <w:t>.</w:t>
      </w:r>
      <w:r w:rsidRPr="005A63D3">
        <w:t xml:space="preserve"> part 3011.</w:t>
      </w:r>
    </w:p>
    <w:p w14:paraId="29C20E40" w14:textId="6E010857" w:rsidR="00E00725" w:rsidRDefault="00C9079C" w:rsidP="00E00725">
      <w:pPr>
        <w:sectPr w:rsidR="00E00725" w:rsidSect="00341F1D">
          <w:headerReference w:type="first" r:id="rId17"/>
          <w:pgSz w:w="12240" w:h="15840" w:code="1"/>
          <w:pgMar w:top="1440" w:right="1440" w:bottom="1440" w:left="1440" w:header="1440" w:footer="1440" w:gutter="0"/>
          <w:cols w:space="720"/>
          <w:titlePg/>
          <w:docGrid w:linePitch="360"/>
        </w:sectPr>
      </w:pPr>
      <w:r w:rsidRPr="005A63D3">
        <w:t xml:space="preserve">Pursuant to 39 U.S.C. </w:t>
      </w:r>
      <w:r w:rsidR="00576393">
        <w:t xml:space="preserve">§ </w:t>
      </w:r>
      <w:r w:rsidRPr="005A63D3">
        <w:t xml:space="preserve">505, the Commission appoints </w:t>
      </w:r>
      <w:r w:rsidR="0025497A" w:rsidRPr="005A63D3">
        <w:t>Katalin K. Clendenin</w:t>
      </w:r>
      <w:r w:rsidRPr="005A63D3">
        <w:t xml:space="preserve"> to represent the interests of the general public (Public Representative) in this proceeding.</w:t>
      </w:r>
    </w:p>
    <w:p w14:paraId="3257AE61" w14:textId="6B6FAF8C" w:rsidR="00C9079C" w:rsidRDefault="00C9079C" w:rsidP="004C2983">
      <w:pPr>
        <w:pStyle w:val="Heading1"/>
        <w:numPr>
          <w:ilvl w:val="0"/>
          <w:numId w:val="6"/>
        </w:numPr>
      </w:pPr>
      <w:r>
        <w:t>ordering paragra</w:t>
      </w:r>
      <w:r w:rsidR="003A6824">
        <w:t>P</w:t>
      </w:r>
      <w:r>
        <w:t>hs</w:t>
      </w:r>
    </w:p>
    <w:p w14:paraId="68C99EB2" w14:textId="77777777" w:rsidR="00C9079C" w:rsidRDefault="00C9079C" w:rsidP="00960B55">
      <w:pPr>
        <w:spacing w:before="240" w:after="240"/>
        <w:ind w:firstLine="0"/>
      </w:pPr>
      <w:r>
        <w:rPr>
          <w:i/>
        </w:rPr>
        <w:t>It is ordered</w:t>
      </w:r>
      <w:r>
        <w:t>:</w:t>
      </w:r>
    </w:p>
    <w:p w14:paraId="19D9FC3E" w14:textId="77777777" w:rsidR="00C9079C" w:rsidRDefault="00C9079C" w:rsidP="00026C6A">
      <w:pPr>
        <w:numPr>
          <w:ilvl w:val="0"/>
          <w:numId w:val="11"/>
        </w:numPr>
        <w:tabs>
          <w:tab w:val="clear" w:pos="360"/>
        </w:tabs>
        <w:spacing w:after="360"/>
        <w:ind w:left="720" w:hanging="720"/>
      </w:pPr>
      <w:r>
        <w:t>Docket No. PI2023-2 is established for the purpose of reviewing regulations and costing methodologies associated with Postal Service cost attribution.</w:t>
      </w:r>
    </w:p>
    <w:p w14:paraId="5AAE8760" w14:textId="13E3C159" w:rsidR="00C9079C" w:rsidRDefault="00C9079C" w:rsidP="00026C6A">
      <w:pPr>
        <w:pStyle w:val="Header"/>
        <w:numPr>
          <w:ilvl w:val="0"/>
          <w:numId w:val="11"/>
        </w:numPr>
        <w:tabs>
          <w:tab w:val="clear" w:pos="360"/>
          <w:tab w:val="clear" w:pos="4680"/>
          <w:tab w:val="clear" w:pos="9360"/>
        </w:tabs>
        <w:spacing w:after="360" w:line="360" w:lineRule="auto"/>
        <w:ind w:left="720" w:hanging="720"/>
      </w:pPr>
      <w:r>
        <w:t xml:space="preserve">Comments are due no later than June </w:t>
      </w:r>
      <w:r w:rsidR="00721C3C">
        <w:t>14</w:t>
      </w:r>
      <w:r>
        <w:t>, 2023.</w:t>
      </w:r>
    </w:p>
    <w:p w14:paraId="748C5832" w14:textId="40082798" w:rsidR="00C9079C" w:rsidRDefault="00C9079C" w:rsidP="00026C6A">
      <w:pPr>
        <w:pStyle w:val="Header"/>
        <w:numPr>
          <w:ilvl w:val="0"/>
          <w:numId w:val="11"/>
        </w:numPr>
        <w:tabs>
          <w:tab w:val="clear" w:pos="360"/>
          <w:tab w:val="clear" w:pos="4680"/>
          <w:tab w:val="clear" w:pos="9360"/>
        </w:tabs>
        <w:spacing w:after="360" w:line="360" w:lineRule="auto"/>
        <w:ind w:left="720" w:hanging="720"/>
      </w:pPr>
      <w:r>
        <w:t xml:space="preserve">Reply comments are due no later than July </w:t>
      </w:r>
      <w:r w:rsidR="00721C3C">
        <w:t>14</w:t>
      </w:r>
      <w:r>
        <w:t>, 2023.</w:t>
      </w:r>
    </w:p>
    <w:p w14:paraId="47206CB3" w14:textId="178BF02F" w:rsidR="00C9079C" w:rsidRDefault="0025497A" w:rsidP="00026C6A">
      <w:pPr>
        <w:pStyle w:val="Header"/>
        <w:numPr>
          <w:ilvl w:val="0"/>
          <w:numId w:val="11"/>
        </w:numPr>
        <w:tabs>
          <w:tab w:val="clear" w:pos="360"/>
          <w:tab w:val="clear" w:pos="4680"/>
          <w:tab w:val="clear" w:pos="9360"/>
        </w:tabs>
        <w:spacing w:after="360" w:line="360" w:lineRule="auto"/>
        <w:ind w:left="720" w:hanging="720"/>
      </w:pPr>
      <w:r>
        <w:t>Katalin K. Clendenin</w:t>
      </w:r>
      <w:r w:rsidR="00C9079C">
        <w:t xml:space="preserve"> is designated to represent the interests of the general public in this docket.</w:t>
      </w:r>
    </w:p>
    <w:p w14:paraId="41F6F6A7" w14:textId="1DB35F7A" w:rsidR="00C9079C" w:rsidRDefault="00C9079C" w:rsidP="00026C6A">
      <w:pPr>
        <w:pStyle w:val="Header"/>
        <w:numPr>
          <w:ilvl w:val="0"/>
          <w:numId w:val="11"/>
        </w:numPr>
        <w:tabs>
          <w:tab w:val="clear" w:pos="360"/>
          <w:tab w:val="clear" w:pos="4680"/>
          <w:tab w:val="clear" w:pos="9360"/>
          <w:tab w:val="num" w:pos="720"/>
        </w:tabs>
        <w:spacing w:after="360" w:line="360" w:lineRule="auto"/>
        <w:ind w:left="720" w:hanging="720"/>
      </w:pPr>
      <w:r>
        <w:t xml:space="preserve">The Secretary shall arrange for publication of </w:t>
      </w:r>
      <w:r w:rsidR="00F10FA0">
        <w:t xml:space="preserve">a general statement as to the basis and purpose of </w:t>
      </w:r>
      <w:r>
        <w:t xml:space="preserve">this Notice in the </w:t>
      </w:r>
      <w:r w:rsidRPr="00F10FA0">
        <w:rPr>
          <w:i/>
        </w:rPr>
        <w:t>Federal Register.</w:t>
      </w:r>
    </w:p>
    <w:p w14:paraId="40DB6510" w14:textId="77777777" w:rsidR="00C9079C" w:rsidRDefault="00C9079C" w:rsidP="00F86A76">
      <w:pPr>
        <w:spacing w:line="240" w:lineRule="auto"/>
        <w:ind w:firstLine="0"/>
      </w:pPr>
      <w:r>
        <w:t>By the Commission.</w:t>
      </w:r>
    </w:p>
    <w:p w14:paraId="3BC0DD3F" w14:textId="77777777" w:rsidR="00C9079C" w:rsidRDefault="00C9079C" w:rsidP="003A6824">
      <w:pPr>
        <w:spacing w:line="240" w:lineRule="auto"/>
        <w:ind w:firstLine="0"/>
      </w:pPr>
    </w:p>
    <w:p w14:paraId="70F489D5" w14:textId="77777777" w:rsidR="00C9079C" w:rsidRDefault="00C9079C" w:rsidP="003A6824">
      <w:pPr>
        <w:spacing w:line="240" w:lineRule="auto"/>
        <w:ind w:firstLine="0"/>
      </w:pPr>
    </w:p>
    <w:p w14:paraId="7058A950" w14:textId="77777777" w:rsidR="00C9079C" w:rsidRDefault="00C9079C" w:rsidP="003A6824">
      <w:pPr>
        <w:spacing w:line="240" w:lineRule="auto"/>
        <w:ind w:firstLine="0"/>
      </w:pPr>
    </w:p>
    <w:p w14:paraId="14644280" w14:textId="77777777" w:rsidR="00C9079C" w:rsidRDefault="00C9079C" w:rsidP="00C9079C">
      <w:pPr>
        <w:spacing w:line="240" w:lineRule="auto"/>
        <w:ind w:left="5040"/>
      </w:pPr>
      <w:r>
        <w:t>Erica A. Barker</w:t>
      </w:r>
    </w:p>
    <w:p w14:paraId="7328EFB6" w14:textId="01F5E238" w:rsidR="008B551C" w:rsidRPr="008F5D58" w:rsidRDefault="00C9079C" w:rsidP="003A6824">
      <w:pPr>
        <w:spacing w:line="240" w:lineRule="auto"/>
        <w:ind w:left="5040"/>
      </w:pPr>
      <w:r>
        <w:t>Secretary</w:t>
      </w:r>
    </w:p>
    <w:sectPr w:rsidR="008B551C" w:rsidRPr="008F5D58" w:rsidSect="00341F1D">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A65F" w14:textId="77777777" w:rsidR="00252B34" w:rsidRDefault="00252B34" w:rsidP="00657842">
      <w:pPr>
        <w:spacing w:line="240" w:lineRule="auto"/>
      </w:pPr>
      <w:r>
        <w:separator/>
      </w:r>
    </w:p>
  </w:endnote>
  <w:endnote w:type="continuationSeparator" w:id="0">
    <w:p w14:paraId="2A9492DA" w14:textId="77777777" w:rsidR="00252B34" w:rsidRDefault="00252B34" w:rsidP="00657842">
      <w:pPr>
        <w:spacing w:line="240" w:lineRule="auto"/>
      </w:pPr>
      <w:r>
        <w:continuationSeparator/>
      </w:r>
    </w:p>
  </w:endnote>
  <w:endnote w:type="continuationNotice" w:id="1">
    <w:p w14:paraId="439619B1" w14:textId="77777777" w:rsidR="00252B34" w:rsidRDefault="00252B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C89C" w14:textId="77777777" w:rsidR="00E00725" w:rsidRDefault="00E00725" w:rsidP="00E00725">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47F2" w14:textId="77777777" w:rsidR="00252B34" w:rsidRDefault="00252B34" w:rsidP="007A0525">
      <w:pPr>
        <w:spacing w:after="120" w:line="240" w:lineRule="auto"/>
        <w:ind w:firstLine="0"/>
      </w:pPr>
      <w:r>
        <w:separator/>
      </w:r>
    </w:p>
  </w:footnote>
  <w:footnote w:type="continuationSeparator" w:id="0">
    <w:p w14:paraId="693EADC9" w14:textId="77777777" w:rsidR="00252B34" w:rsidRDefault="00252B34" w:rsidP="00657842">
      <w:pPr>
        <w:spacing w:line="240" w:lineRule="auto"/>
      </w:pPr>
      <w:r>
        <w:continuationSeparator/>
      </w:r>
    </w:p>
  </w:footnote>
  <w:footnote w:type="continuationNotice" w:id="1">
    <w:p w14:paraId="58461709" w14:textId="77777777" w:rsidR="00252B34" w:rsidRDefault="00252B34">
      <w:pPr>
        <w:spacing w:line="240" w:lineRule="auto"/>
      </w:pPr>
    </w:p>
  </w:footnote>
  <w:footnote w:id="2">
    <w:p w14:paraId="3C33E2A2" w14:textId="77777777" w:rsidR="00661260" w:rsidRPr="006620E8" w:rsidRDefault="00661260" w:rsidP="00661260">
      <w:pPr>
        <w:pStyle w:val="FootnoteText"/>
        <w:spacing w:after="120"/>
      </w:pPr>
      <w:r w:rsidRPr="006620E8">
        <w:rPr>
          <w:rStyle w:val="FootnoteReference"/>
        </w:rPr>
        <w:footnoteRef/>
      </w:r>
      <w:r w:rsidRPr="006620E8">
        <w:t xml:space="preserve"> </w:t>
      </w:r>
      <w:r w:rsidRPr="006620E8">
        <w:rPr>
          <w:rStyle w:val="normaltextrun"/>
          <w:shd w:val="clear" w:color="auto" w:fill="FFFFFF"/>
        </w:rPr>
        <w:t>Pub. L. 117-108, 136 Stat. 1127 (2022).</w:t>
      </w:r>
    </w:p>
  </w:footnote>
  <w:footnote w:id="3">
    <w:p w14:paraId="5B931B58" w14:textId="5C4D665B" w:rsidR="00D16F2E" w:rsidRPr="006620E8" w:rsidRDefault="00D92EC1" w:rsidP="000D5476">
      <w:pPr>
        <w:spacing w:after="120" w:line="240" w:lineRule="auto"/>
        <w:rPr>
          <w:i/>
          <w:iCs/>
          <w:kern w:val="0"/>
          <w:sz w:val="20"/>
          <w:szCs w:val="20"/>
        </w:rPr>
      </w:pPr>
      <w:r w:rsidRPr="006620E8">
        <w:rPr>
          <w:rStyle w:val="FootnoteReference"/>
          <w:sz w:val="20"/>
          <w:szCs w:val="20"/>
        </w:rPr>
        <w:footnoteRef/>
      </w:r>
      <w:r w:rsidRPr="006620E8">
        <w:rPr>
          <w:sz w:val="20"/>
          <w:szCs w:val="20"/>
        </w:rPr>
        <w:t xml:space="preserve"> </w:t>
      </w:r>
      <w:r w:rsidR="003D7B8B" w:rsidRPr="006620E8">
        <w:rPr>
          <w:sz w:val="20"/>
          <w:szCs w:val="20"/>
        </w:rPr>
        <w:t>39 U.S.C. § 3633</w:t>
      </w:r>
      <w:r w:rsidR="00D16F2E" w:rsidRPr="006620E8">
        <w:rPr>
          <w:sz w:val="20"/>
          <w:szCs w:val="20"/>
        </w:rPr>
        <w:t xml:space="preserve"> </w:t>
      </w:r>
      <w:r w:rsidR="00E623A6" w:rsidRPr="006620E8">
        <w:rPr>
          <w:sz w:val="20"/>
          <w:szCs w:val="20"/>
        </w:rPr>
        <w:t>contains</w:t>
      </w:r>
      <w:r w:rsidR="00D16F2E" w:rsidRPr="006620E8">
        <w:rPr>
          <w:sz w:val="20"/>
          <w:szCs w:val="20"/>
        </w:rPr>
        <w:t xml:space="preserve"> provisions applicable to rates for Competitive products</w:t>
      </w:r>
      <w:r w:rsidR="00E623A6" w:rsidRPr="006620E8">
        <w:rPr>
          <w:sz w:val="20"/>
          <w:szCs w:val="20"/>
        </w:rPr>
        <w:t>.</w:t>
      </w:r>
      <w:r w:rsidR="00685A36" w:rsidRPr="006620E8">
        <w:rPr>
          <w:sz w:val="20"/>
          <w:szCs w:val="20"/>
        </w:rPr>
        <w:t xml:space="preserve"> </w:t>
      </w:r>
      <w:r w:rsidR="00B86822" w:rsidRPr="006620E8">
        <w:rPr>
          <w:sz w:val="20"/>
          <w:szCs w:val="20"/>
        </w:rPr>
        <w:t xml:space="preserve"> </w:t>
      </w:r>
      <w:r w:rsidR="00E623A6" w:rsidRPr="006620E8">
        <w:rPr>
          <w:sz w:val="20"/>
          <w:szCs w:val="20"/>
        </w:rPr>
        <w:t xml:space="preserve">Specifically, </w:t>
      </w:r>
      <w:r w:rsidR="00685A36" w:rsidRPr="006620E8">
        <w:rPr>
          <w:sz w:val="20"/>
          <w:szCs w:val="20"/>
        </w:rPr>
        <w:t xml:space="preserve">39 U.S.C. § 3633(a) </w:t>
      </w:r>
      <w:r w:rsidR="00E623A6" w:rsidRPr="006620E8">
        <w:rPr>
          <w:kern w:val="0"/>
          <w:sz w:val="20"/>
          <w:szCs w:val="20"/>
          <w:shd w:val="clear" w:color="auto" w:fill="FFFFFF"/>
        </w:rPr>
        <w:t>provides that</w:t>
      </w:r>
      <w:r w:rsidR="00DD09D1" w:rsidRPr="006620E8">
        <w:rPr>
          <w:kern w:val="0"/>
          <w:sz w:val="20"/>
          <w:szCs w:val="20"/>
          <w:shd w:val="clear" w:color="auto" w:fill="FFFFFF"/>
        </w:rPr>
        <w:t xml:space="preserve"> the Commission “</w:t>
      </w:r>
      <w:r w:rsidR="005E6D00" w:rsidRPr="006620E8">
        <w:rPr>
          <w:kern w:val="0"/>
          <w:sz w:val="20"/>
          <w:szCs w:val="20"/>
          <w:shd w:val="clear" w:color="auto" w:fill="FFFFFF"/>
        </w:rPr>
        <w:t xml:space="preserve">shall, </w:t>
      </w:r>
      <w:r w:rsidR="00DD09D1" w:rsidRPr="006620E8">
        <w:rPr>
          <w:kern w:val="0"/>
          <w:sz w:val="20"/>
          <w:szCs w:val="20"/>
          <w:shd w:val="clear" w:color="auto" w:fill="FFFFFF"/>
        </w:rPr>
        <w:t>within 18 months after the date of enactment of this section, promulgate (and may from time to time thereafter revise) regulations to—(1)</w:t>
      </w:r>
      <w:r w:rsidR="00DD09D1" w:rsidRPr="006620E8">
        <w:rPr>
          <w:kern w:val="0"/>
          <w:sz w:val="20"/>
          <w:szCs w:val="20"/>
        </w:rPr>
        <w:t xml:space="preserve"> prohibit the subsidization of competitive products by market-dominant products; </w:t>
      </w:r>
      <w:bookmarkStart w:id="0" w:name="a_2"/>
      <w:bookmarkEnd w:id="0"/>
      <w:r w:rsidR="00DD09D1" w:rsidRPr="006620E8">
        <w:rPr>
          <w:kern w:val="0"/>
          <w:sz w:val="20"/>
          <w:szCs w:val="20"/>
        </w:rPr>
        <w:t xml:space="preserve">(2) ensure that each competitive product covers its costs attributable; and </w:t>
      </w:r>
      <w:bookmarkStart w:id="1" w:name="a_3"/>
      <w:bookmarkEnd w:id="1"/>
      <w:r w:rsidR="00DD09D1" w:rsidRPr="006620E8">
        <w:rPr>
          <w:kern w:val="0"/>
          <w:sz w:val="20"/>
          <w:szCs w:val="20"/>
        </w:rPr>
        <w:t>(3) ensure that all competitive products collectively cover what the Commission determines to be an appropriate share of the institutional costs of the Postal Service.</w:t>
      </w:r>
      <w:r w:rsidR="000D5476" w:rsidRPr="006620E8">
        <w:rPr>
          <w:kern w:val="0"/>
          <w:sz w:val="20"/>
          <w:szCs w:val="20"/>
        </w:rPr>
        <w:t xml:space="preserve">  </w:t>
      </w:r>
      <w:r w:rsidR="000D5476" w:rsidRPr="006620E8">
        <w:rPr>
          <w:i/>
          <w:iCs/>
          <w:kern w:val="0"/>
          <w:sz w:val="20"/>
          <w:szCs w:val="20"/>
        </w:rPr>
        <w:t xml:space="preserve">See </w:t>
      </w:r>
      <w:r w:rsidR="000D5476" w:rsidRPr="006620E8">
        <w:rPr>
          <w:sz w:val="20"/>
          <w:szCs w:val="20"/>
        </w:rPr>
        <w:t>39 U.S.C. § 3633(a).</w:t>
      </w:r>
    </w:p>
    <w:p w14:paraId="1ADA0B7F" w14:textId="327D5B1A" w:rsidR="00D92EC1" w:rsidRPr="006620E8" w:rsidRDefault="007012B2" w:rsidP="005277C3">
      <w:pPr>
        <w:spacing w:line="240" w:lineRule="auto"/>
        <w:rPr>
          <w:bCs w:val="0"/>
          <w:kern w:val="0"/>
          <w:sz w:val="20"/>
          <w:szCs w:val="20"/>
        </w:rPr>
      </w:pPr>
      <w:r w:rsidRPr="006620E8">
        <w:rPr>
          <w:sz w:val="20"/>
          <w:szCs w:val="20"/>
        </w:rPr>
        <w:t xml:space="preserve">Section 3652 of Title </w:t>
      </w:r>
      <w:r w:rsidR="003D7B8B" w:rsidRPr="006620E8">
        <w:rPr>
          <w:sz w:val="20"/>
          <w:szCs w:val="20"/>
        </w:rPr>
        <w:t xml:space="preserve">39 </w:t>
      </w:r>
      <w:r w:rsidR="006B4B1C" w:rsidRPr="006620E8">
        <w:rPr>
          <w:sz w:val="20"/>
          <w:szCs w:val="20"/>
        </w:rPr>
        <w:t>of the United States C</w:t>
      </w:r>
      <w:r w:rsidR="00D15F97" w:rsidRPr="006620E8">
        <w:rPr>
          <w:sz w:val="20"/>
          <w:szCs w:val="20"/>
        </w:rPr>
        <w:t>o</w:t>
      </w:r>
      <w:r w:rsidR="006B4B1C" w:rsidRPr="006620E8">
        <w:rPr>
          <w:sz w:val="20"/>
          <w:szCs w:val="20"/>
        </w:rPr>
        <w:t>de</w:t>
      </w:r>
      <w:r w:rsidR="003D7B8B" w:rsidRPr="006620E8">
        <w:rPr>
          <w:sz w:val="20"/>
          <w:szCs w:val="20"/>
        </w:rPr>
        <w:t xml:space="preserve"> </w:t>
      </w:r>
      <w:r w:rsidR="00461EDD" w:rsidRPr="006620E8">
        <w:rPr>
          <w:sz w:val="20"/>
          <w:szCs w:val="20"/>
        </w:rPr>
        <w:t>require</w:t>
      </w:r>
      <w:r w:rsidRPr="006620E8">
        <w:rPr>
          <w:sz w:val="20"/>
          <w:szCs w:val="20"/>
        </w:rPr>
        <w:t>s certain</w:t>
      </w:r>
      <w:r w:rsidR="00B71162" w:rsidRPr="006620E8">
        <w:rPr>
          <w:sz w:val="20"/>
          <w:szCs w:val="20"/>
        </w:rPr>
        <w:t xml:space="preserve"> report</w:t>
      </w:r>
      <w:r w:rsidR="005225A0" w:rsidRPr="006620E8">
        <w:rPr>
          <w:sz w:val="20"/>
          <w:szCs w:val="20"/>
        </w:rPr>
        <w:t>ing</w:t>
      </w:r>
      <w:r w:rsidR="00B71162" w:rsidRPr="006620E8">
        <w:rPr>
          <w:sz w:val="20"/>
          <w:szCs w:val="20"/>
        </w:rPr>
        <w:t xml:space="preserve"> </w:t>
      </w:r>
      <w:r w:rsidR="005225A0" w:rsidRPr="006620E8">
        <w:rPr>
          <w:sz w:val="20"/>
          <w:szCs w:val="20"/>
        </w:rPr>
        <w:t xml:space="preserve">by the Postal Service </w:t>
      </w:r>
      <w:r w:rsidR="00B71162" w:rsidRPr="006620E8">
        <w:rPr>
          <w:sz w:val="20"/>
          <w:szCs w:val="20"/>
        </w:rPr>
        <w:t>to the Commission</w:t>
      </w:r>
      <w:r w:rsidR="00983EE6" w:rsidRPr="006620E8">
        <w:rPr>
          <w:sz w:val="20"/>
          <w:szCs w:val="20"/>
        </w:rPr>
        <w:t>;</w:t>
      </w:r>
      <w:r w:rsidR="00B71162" w:rsidRPr="006620E8">
        <w:rPr>
          <w:sz w:val="20"/>
          <w:szCs w:val="20"/>
        </w:rPr>
        <w:t xml:space="preserve"> 39 U.S.C. § 3652(a) </w:t>
      </w:r>
      <w:r w:rsidR="0082704D" w:rsidRPr="006620E8">
        <w:rPr>
          <w:sz w:val="20"/>
          <w:szCs w:val="20"/>
        </w:rPr>
        <w:t xml:space="preserve">requires the Postal Service </w:t>
      </w:r>
      <w:r w:rsidR="004441F1" w:rsidRPr="006620E8">
        <w:rPr>
          <w:sz w:val="20"/>
          <w:szCs w:val="20"/>
        </w:rPr>
        <w:t xml:space="preserve">to, </w:t>
      </w:r>
      <w:r w:rsidR="00237633" w:rsidRPr="006620E8">
        <w:rPr>
          <w:bCs w:val="0"/>
          <w:kern w:val="0"/>
          <w:sz w:val="20"/>
          <w:szCs w:val="20"/>
          <w:shd w:val="clear" w:color="auto" w:fill="FFFFFF"/>
        </w:rPr>
        <w:t>no later than 90 days after the end of each year, prepare and submit to the Commission</w:t>
      </w:r>
      <w:r w:rsidR="00A244E7" w:rsidRPr="006620E8">
        <w:rPr>
          <w:bCs w:val="0"/>
          <w:kern w:val="0"/>
          <w:sz w:val="20"/>
          <w:szCs w:val="20"/>
          <w:shd w:val="clear" w:color="auto" w:fill="FFFFFF"/>
        </w:rPr>
        <w:t xml:space="preserve"> </w:t>
      </w:r>
      <w:r w:rsidR="00237633" w:rsidRPr="006620E8">
        <w:rPr>
          <w:bCs w:val="0"/>
          <w:kern w:val="0"/>
          <w:sz w:val="20"/>
          <w:szCs w:val="20"/>
          <w:shd w:val="clear" w:color="auto" w:fill="FFFFFF"/>
        </w:rPr>
        <w:t>a report</w:t>
      </w:r>
      <w:r w:rsidR="005B2521" w:rsidRPr="006620E8">
        <w:rPr>
          <w:bCs w:val="0"/>
          <w:kern w:val="0"/>
          <w:sz w:val="20"/>
          <w:szCs w:val="20"/>
          <w:shd w:val="clear" w:color="auto" w:fill="FFFFFF"/>
        </w:rPr>
        <w:t xml:space="preserve">; </w:t>
      </w:r>
      <w:r w:rsidR="00436E14" w:rsidRPr="006620E8">
        <w:rPr>
          <w:bCs w:val="0"/>
          <w:kern w:val="0"/>
          <w:sz w:val="20"/>
          <w:szCs w:val="20"/>
          <w:shd w:val="clear" w:color="auto" w:fill="FFFFFF"/>
        </w:rPr>
        <w:t xml:space="preserve">and </w:t>
      </w:r>
      <w:r w:rsidR="00436E14" w:rsidRPr="006620E8">
        <w:rPr>
          <w:sz w:val="20"/>
          <w:szCs w:val="20"/>
        </w:rPr>
        <w:t xml:space="preserve">39 U.S.C. § 3652(a)(1) specifies that </w:t>
      </w:r>
      <w:r w:rsidR="008008D9" w:rsidRPr="006620E8">
        <w:rPr>
          <w:sz w:val="20"/>
          <w:szCs w:val="20"/>
        </w:rPr>
        <w:t>in the report the Postal Service “</w:t>
      </w:r>
      <w:bookmarkStart w:id="2" w:name="a_1"/>
      <w:bookmarkEnd w:id="2"/>
      <w:r w:rsidR="00237633" w:rsidRPr="006620E8">
        <w:rPr>
          <w:bCs w:val="0"/>
          <w:kern w:val="0"/>
          <w:sz w:val="20"/>
          <w:szCs w:val="20"/>
        </w:rPr>
        <w:t>shall analyze costs, revenues, rates, and quality of service, using such methodologies as the Commission shall by regulation prescribe, and in sufficient detail to demonstrate that all products during such year complied with all applicable requirements</w:t>
      </w:r>
      <w:r w:rsidR="008008D9" w:rsidRPr="006620E8">
        <w:rPr>
          <w:bCs w:val="0"/>
          <w:kern w:val="0"/>
          <w:sz w:val="20"/>
          <w:szCs w:val="20"/>
        </w:rPr>
        <w:t xml:space="preserve"> of </w:t>
      </w:r>
      <w:r w:rsidR="004449B1" w:rsidRPr="006620E8">
        <w:rPr>
          <w:bCs w:val="0"/>
          <w:kern w:val="0"/>
          <w:sz w:val="20"/>
          <w:szCs w:val="20"/>
        </w:rPr>
        <w:t>[</w:t>
      </w:r>
      <w:r w:rsidR="008008D9" w:rsidRPr="006620E8">
        <w:rPr>
          <w:bCs w:val="0"/>
          <w:kern w:val="0"/>
          <w:sz w:val="20"/>
          <w:szCs w:val="20"/>
        </w:rPr>
        <w:t>Title 39 of the United States Code</w:t>
      </w:r>
      <w:r w:rsidR="004449B1" w:rsidRPr="006620E8">
        <w:rPr>
          <w:bCs w:val="0"/>
          <w:kern w:val="0"/>
          <w:sz w:val="20"/>
          <w:szCs w:val="20"/>
        </w:rPr>
        <w:t>]</w:t>
      </w:r>
      <w:r w:rsidR="008008D9" w:rsidRPr="006620E8">
        <w:rPr>
          <w:bCs w:val="0"/>
          <w:kern w:val="0"/>
          <w:sz w:val="20"/>
          <w:szCs w:val="20"/>
        </w:rPr>
        <w:t>.</w:t>
      </w:r>
      <w:r w:rsidR="004449B1" w:rsidRPr="006620E8">
        <w:rPr>
          <w:bCs w:val="0"/>
          <w:kern w:val="0"/>
          <w:sz w:val="20"/>
          <w:szCs w:val="20"/>
        </w:rPr>
        <w:t>”</w:t>
      </w:r>
      <w:r w:rsidR="008008D9" w:rsidRPr="006620E8">
        <w:rPr>
          <w:bCs w:val="0"/>
          <w:kern w:val="0"/>
          <w:sz w:val="20"/>
          <w:szCs w:val="20"/>
        </w:rPr>
        <w:t xml:space="preserve">  </w:t>
      </w:r>
      <w:r w:rsidR="008008D9" w:rsidRPr="006620E8">
        <w:rPr>
          <w:bCs w:val="0"/>
          <w:i/>
          <w:iCs/>
          <w:kern w:val="0"/>
          <w:sz w:val="20"/>
          <w:szCs w:val="20"/>
        </w:rPr>
        <w:t xml:space="preserve">See </w:t>
      </w:r>
      <w:r w:rsidR="008008D9" w:rsidRPr="006620E8">
        <w:rPr>
          <w:sz w:val="20"/>
          <w:szCs w:val="20"/>
        </w:rPr>
        <w:t>39 U.S.C. § 3652(a)(1).</w:t>
      </w:r>
    </w:p>
  </w:footnote>
  <w:footnote w:id="4">
    <w:p w14:paraId="7C49998E" w14:textId="419EED8E" w:rsidR="00A9333E" w:rsidRPr="006620E8" w:rsidRDefault="00A9333E" w:rsidP="00A9333E">
      <w:pPr>
        <w:pStyle w:val="FootnoteText"/>
      </w:pPr>
      <w:r w:rsidRPr="006620E8">
        <w:rPr>
          <w:rStyle w:val="FootnoteReference"/>
        </w:rPr>
        <w:footnoteRef/>
      </w:r>
      <w:r w:rsidRPr="006620E8">
        <w:t xml:space="preserve"> 39 C.F.R. § 3035.107(c) </w:t>
      </w:r>
      <w:r w:rsidR="00B37A3B" w:rsidRPr="006620E8">
        <w:t xml:space="preserve">was issued pursuant to 39 U.S.C. § 3633(a)(3) and </w:t>
      </w:r>
      <w:r w:rsidRPr="006620E8">
        <w:t>describes the appropriate share of institutional costs to be recovered from the Postal Service’s Competitive products collectively</w:t>
      </w:r>
      <w:r w:rsidRPr="006620E8">
        <w:rPr>
          <w:i/>
          <w:iCs/>
        </w:rPr>
        <w:t>.</w:t>
      </w:r>
      <w:r w:rsidRPr="006620E8">
        <w:t xml:space="preserve">  </w:t>
      </w:r>
      <w:r w:rsidR="000661AC" w:rsidRPr="006620E8">
        <w:rPr>
          <w:i/>
          <w:iCs/>
        </w:rPr>
        <w:t xml:space="preserve">See </w:t>
      </w:r>
      <w:r w:rsidR="000661AC" w:rsidRPr="006620E8">
        <w:t xml:space="preserve">39 U.S.C. § 3633(a)(3), (b) (requiring </w:t>
      </w:r>
      <w:r w:rsidR="00817E56" w:rsidRPr="006620E8">
        <w:t>the Commission to “ensure that all competitive products collectively recover what the Commission determines to be an appropriate share of the institutional costs of the Postal Service</w:t>
      </w:r>
      <w:r w:rsidR="00EC404C" w:rsidRPr="006620E8">
        <w:t>”).</w:t>
      </w:r>
      <w:r w:rsidRPr="006620E8">
        <w:t xml:space="preserve"> </w:t>
      </w:r>
      <w:r w:rsidR="00264AD9" w:rsidRPr="006620E8">
        <w:t xml:space="preserve"> </w:t>
      </w:r>
      <w:r w:rsidR="00EC404C" w:rsidRPr="006620E8">
        <w:t>However, while s</w:t>
      </w:r>
      <w:r w:rsidR="00F54AAC" w:rsidRPr="006620E8">
        <w:t xml:space="preserve">ection 203 of the PSRA </w:t>
      </w:r>
      <w:r w:rsidR="0056448C" w:rsidRPr="006620E8">
        <w:t>explicitly</w:t>
      </w:r>
      <w:r w:rsidR="002E2237" w:rsidRPr="006620E8">
        <w:t xml:space="preserve"> </w:t>
      </w:r>
      <w:r w:rsidR="00F54AAC" w:rsidRPr="006620E8">
        <w:t xml:space="preserve">limits the Commission’s review to regulations issued pursuant to </w:t>
      </w:r>
      <w:r w:rsidR="003B1E4F" w:rsidRPr="006620E8">
        <w:t>39 U.S.C. §§</w:t>
      </w:r>
      <w:r w:rsidR="002C7728" w:rsidRPr="006620E8">
        <w:t> </w:t>
      </w:r>
      <w:r w:rsidR="003B1E4F" w:rsidRPr="006620E8">
        <w:t xml:space="preserve">3633(a) </w:t>
      </w:r>
      <w:r w:rsidR="00345FAC" w:rsidRPr="006620E8">
        <w:t>and</w:t>
      </w:r>
      <w:r w:rsidR="003B1E4F" w:rsidRPr="006620E8">
        <w:t xml:space="preserve"> 3652(a)(1)</w:t>
      </w:r>
      <w:r w:rsidR="00EC404C" w:rsidRPr="006620E8">
        <w:t xml:space="preserve">, </w:t>
      </w:r>
      <w:r w:rsidR="002E2237" w:rsidRPr="006620E8">
        <w:t xml:space="preserve">it also </w:t>
      </w:r>
      <w:r w:rsidR="00FD3565" w:rsidRPr="006620E8">
        <w:t>implicitly</w:t>
      </w:r>
      <w:r w:rsidR="002E2237" w:rsidRPr="006620E8">
        <w:t xml:space="preserve"> limits the Commission’s review to </w:t>
      </w:r>
      <w:r w:rsidR="00FD3565" w:rsidRPr="006620E8">
        <w:t xml:space="preserve">regulations involving </w:t>
      </w:r>
      <w:r w:rsidR="00FC343F" w:rsidRPr="006620E8">
        <w:t>cost attribution</w:t>
      </w:r>
      <w:r w:rsidR="003B1E4F" w:rsidRPr="006620E8">
        <w:t xml:space="preserve">. </w:t>
      </w:r>
      <w:r w:rsidR="00316A0E" w:rsidRPr="006620E8">
        <w:t xml:space="preserve"> Because </w:t>
      </w:r>
      <w:r w:rsidRPr="006620E8">
        <w:t xml:space="preserve">39 C.F.R. § 3035.107(c) </w:t>
      </w:r>
      <w:r w:rsidR="00316A0E" w:rsidRPr="006620E8">
        <w:t xml:space="preserve">relates to </w:t>
      </w:r>
      <w:r w:rsidR="0064627D" w:rsidRPr="006620E8">
        <w:t>Competitive product contribution to the Postal Service</w:t>
      </w:r>
      <w:r w:rsidR="00A91D22" w:rsidRPr="006620E8">
        <w:t>’s</w:t>
      </w:r>
      <w:r w:rsidR="0064627D" w:rsidRPr="006620E8">
        <w:t xml:space="preserve"> institutional costs</w:t>
      </w:r>
      <w:r w:rsidR="00A91D22" w:rsidRPr="006620E8">
        <w:t>,</w:t>
      </w:r>
      <w:r w:rsidR="0064627D" w:rsidRPr="006620E8">
        <w:t xml:space="preserve"> not </w:t>
      </w:r>
      <w:r w:rsidR="00FC343F" w:rsidRPr="006620E8">
        <w:t>cost attribution</w:t>
      </w:r>
      <w:r w:rsidR="0064627D" w:rsidRPr="006620E8">
        <w:t xml:space="preserve">, it </w:t>
      </w:r>
      <w:r w:rsidRPr="006620E8">
        <w:t>falls outside the scope of th</w:t>
      </w:r>
      <w:r w:rsidR="00160E54" w:rsidRPr="006620E8">
        <w:t>e</w:t>
      </w:r>
      <w:r w:rsidRPr="006620E8">
        <w:t xml:space="preserve"> review</w:t>
      </w:r>
      <w:r w:rsidR="00160E54" w:rsidRPr="006620E8">
        <w:t xml:space="preserve"> required under section 203</w:t>
      </w:r>
      <w:r w:rsidRPr="006620E8">
        <w:t>.</w:t>
      </w:r>
    </w:p>
  </w:footnote>
  <w:footnote w:id="5">
    <w:p w14:paraId="60CF297C" w14:textId="795B84DA" w:rsidR="008938DB" w:rsidRPr="006620E8" w:rsidRDefault="008938DB" w:rsidP="005277C3">
      <w:pPr>
        <w:pStyle w:val="FootnoteText"/>
        <w:spacing w:after="120"/>
      </w:pPr>
      <w:r w:rsidRPr="006620E8">
        <w:rPr>
          <w:rStyle w:val="FootnoteReference"/>
        </w:rPr>
        <w:footnoteRef/>
      </w:r>
      <w:r w:rsidRPr="006620E8">
        <w:t xml:space="preserve"> In implementing the Postal Reorganization Act, Pub. L. 91-375, 84 Stat. 719 (1970), the former Postal Rate Commission developed the two-tier approach to costing.  That approach was upheld by the Supreme Court of the United States.  </w:t>
      </w:r>
      <w:r w:rsidRPr="006620E8">
        <w:rPr>
          <w:i/>
          <w:iCs/>
        </w:rPr>
        <w:t>See</w:t>
      </w:r>
      <w:r w:rsidRPr="006620E8">
        <w:t xml:space="preserve"> </w:t>
      </w:r>
      <w:r w:rsidRPr="006620E8">
        <w:rPr>
          <w:i/>
          <w:iCs/>
        </w:rPr>
        <w:t>Nat’l Ass’n of Greeting Card Publishers v. U.S. Postal Serv.</w:t>
      </w:r>
      <w:r w:rsidRPr="006620E8">
        <w:t>, 462 U.S. 810,</w:t>
      </w:r>
      <w:r w:rsidRPr="006620E8" w:rsidDel="002B5BAA">
        <w:t xml:space="preserve"> </w:t>
      </w:r>
      <w:r w:rsidRPr="006620E8">
        <w:t>833 (1983) (specifically rejecting the imposition of an intermediary tier of costs, based on extended inferences of causation, between attributable and institutional costs).</w:t>
      </w:r>
    </w:p>
  </w:footnote>
  <w:footnote w:id="6">
    <w:p w14:paraId="69104C17" w14:textId="0C755E3F" w:rsidR="001C23AC" w:rsidRPr="006620E8" w:rsidRDefault="00C066C7" w:rsidP="005277C3">
      <w:pPr>
        <w:pStyle w:val="FootnoteText"/>
      </w:pPr>
      <w:r w:rsidRPr="006620E8">
        <w:rPr>
          <w:rStyle w:val="FootnoteReference"/>
        </w:rPr>
        <w:footnoteRef/>
      </w:r>
      <w:r w:rsidRPr="006620E8">
        <w:t xml:space="preserve"> </w:t>
      </w:r>
      <w:r w:rsidR="001C23AC" w:rsidRPr="006620E8">
        <w:t>Postal Accountability and Enhancement Act, Pub. L. 109-435, 120 Stat. 3201, 3205 (2006); 39</w:t>
      </w:r>
      <w:r w:rsidR="00460BA1" w:rsidRPr="006620E8">
        <w:t> </w:t>
      </w:r>
      <w:r w:rsidR="001C23AC" w:rsidRPr="006620E8">
        <w:t xml:space="preserve">U.S.C. §§ 3622(c)(2), 3631(b).  </w:t>
      </w:r>
      <w:r w:rsidR="00D21AF2" w:rsidRPr="006620E8">
        <w:t>The Senate Report explains:</w:t>
      </w:r>
    </w:p>
    <w:p w14:paraId="5E47423A" w14:textId="61329FB2" w:rsidR="00D21AF2" w:rsidRPr="006620E8" w:rsidRDefault="00D21AF2" w:rsidP="000C6626">
      <w:pPr>
        <w:pStyle w:val="FootnoteText"/>
        <w:ind w:firstLine="0"/>
      </w:pPr>
    </w:p>
    <w:p w14:paraId="51C04343" w14:textId="6E3014A8" w:rsidR="00D21AF2" w:rsidRPr="006620E8" w:rsidRDefault="00D21AF2" w:rsidP="00473E95">
      <w:pPr>
        <w:pStyle w:val="FootnoteText"/>
        <w:ind w:left="1440" w:right="1440" w:firstLine="0"/>
        <w:jc w:val="both"/>
      </w:pPr>
      <w:r w:rsidRPr="006620E8">
        <w:t xml:space="preserve">Over the history of the Postal Reorganization Act the ability to accurately attribute costs has continually evolved, and the Committee expects that…this process will continue. </w:t>
      </w:r>
      <w:r w:rsidR="00C13ECD" w:rsidRPr="006620E8">
        <w:t xml:space="preserve"> </w:t>
      </w:r>
      <w:r w:rsidRPr="006620E8">
        <w:t xml:space="preserve">The current analysis has been guided by a Supreme Court decision, </w:t>
      </w:r>
      <w:r w:rsidRPr="006620E8">
        <w:rPr>
          <w:i/>
          <w:iCs/>
        </w:rPr>
        <w:t>National Assoc. of Greeting Card Publishers v. USPS</w:t>
      </w:r>
      <w:r w:rsidRPr="006620E8">
        <w:t xml:space="preserve">, 462 U.S. 810, 829-34 (1982), that carefully analyzed how the term attributable should be interpreted. </w:t>
      </w:r>
      <w:r w:rsidR="00C13ECD" w:rsidRPr="006620E8">
        <w:t xml:space="preserve"> </w:t>
      </w:r>
      <w:r w:rsidRPr="006620E8">
        <w:t xml:space="preserve">This definition has been further refined by U.S. Courts of Appeals and is well understood in the industry. </w:t>
      </w:r>
      <w:r w:rsidR="00C13ECD" w:rsidRPr="006620E8">
        <w:t xml:space="preserve"> </w:t>
      </w:r>
      <w:r w:rsidRPr="006620E8">
        <w:t xml:space="preserve">The </w:t>
      </w:r>
      <w:r w:rsidRPr="00485600">
        <w:t>NAGCP</w:t>
      </w:r>
      <w:r w:rsidRPr="006620E8">
        <w:t xml:space="preserve"> Court rejected a contention that it was appropriate to make classes responsible for the recovery of costs for which an extended inference of causation was claimed. </w:t>
      </w:r>
      <w:r w:rsidR="00C13ECD" w:rsidRPr="006620E8">
        <w:t xml:space="preserve"> </w:t>
      </w:r>
      <w:r w:rsidRPr="006620E8">
        <w:t>It emphasized the need for reliable indicators of causality without specifying any specific method for identifying causality</w:t>
      </w:r>
      <w:r w:rsidR="00AE24FE" w:rsidRPr="006620E8">
        <w:t>. …</w:t>
      </w:r>
      <w:r w:rsidR="00C13ECD" w:rsidRPr="006620E8">
        <w:t xml:space="preserve"> </w:t>
      </w:r>
      <w:r w:rsidRPr="006620E8">
        <w:t>The Committee finds no reason for changing this standard.</w:t>
      </w:r>
    </w:p>
    <w:p w14:paraId="57E13E53" w14:textId="77777777" w:rsidR="00D21AF2" w:rsidRPr="006620E8" w:rsidRDefault="00D21AF2" w:rsidP="005B1CB6">
      <w:pPr>
        <w:pStyle w:val="FootnoteText"/>
        <w:ind w:firstLine="0"/>
      </w:pPr>
    </w:p>
    <w:p w14:paraId="15065BCF" w14:textId="07B43A44" w:rsidR="001C23AC" w:rsidRPr="006620E8" w:rsidRDefault="00D21AF2" w:rsidP="003E67A4">
      <w:pPr>
        <w:pStyle w:val="FootnoteText"/>
        <w:spacing w:after="120"/>
        <w:ind w:firstLine="0"/>
      </w:pPr>
      <w:r w:rsidRPr="006620E8">
        <w:t>S. Rep. No. 108-318, at 9-10 (2004).</w:t>
      </w:r>
    </w:p>
    <w:p w14:paraId="262D7FF5" w14:textId="6358E7E0" w:rsidR="00C066C7" w:rsidRPr="006620E8" w:rsidRDefault="001C23AC" w:rsidP="001C23AC">
      <w:pPr>
        <w:pStyle w:val="FootnoteText"/>
      </w:pPr>
      <w:r w:rsidRPr="006620E8">
        <w:t xml:space="preserve">The enactment of the PSRA did not disturb this two-tier approach. </w:t>
      </w:r>
      <w:r w:rsidR="00197945" w:rsidRPr="006620E8">
        <w:t xml:space="preserve"> </w:t>
      </w:r>
      <w:r w:rsidRPr="006620E8">
        <w:rPr>
          <w:i/>
          <w:iCs/>
        </w:rPr>
        <w:t>See</w:t>
      </w:r>
      <w:r w:rsidRPr="006620E8">
        <w:t xml:space="preserve"> Docket Nos. RM2017-1 and RM2022-2, Order Finalizing Rule Relating to the Institutional Cost Contribution Requirement for Competitive Products, January 9, 2023, at 37 n.40 (Order No. 6399).</w:t>
      </w:r>
    </w:p>
  </w:footnote>
  <w:footnote w:id="7">
    <w:p w14:paraId="5ED0AB8A" w14:textId="13F46E22" w:rsidR="00AA6A23" w:rsidRPr="006620E8" w:rsidRDefault="00AA6A23" w:rsidP="003E67A4">
      <w:pPr>
        <w:pStyle w:val="FootnoteText"/>
        <w:spacing w:after="120"/>
      </w:pPr>
      <w:r w:rsidRPr="006620E8">
        <w:rPr>
          <w:rStyle w:val="FootnoteReference"/>
        </w:rPr>
        <w:footnoteRef/>
      </w:r>
      <w:r w:rsidRPr="006620E8">
        <w:rPr>
          <w:i/>
          <w:iCs/>
        </w:rPr>
        <w:t xml:space="preserve"> See</w:t>
      </w:r>
      <w:r w:rsidRPr="006620E8">
        <w:t xml:space="preserve"> </w:t>
      </w:r>
      <w:r w:rsidR="008E075E" w:rsidRPr="006620E8">
        <w:rPr>
          <w:i/>
          <w:iCs/>
        </w:rPr>
        <w:t xml:space="preserve">generally </w:t>
      </w:r>
      <w:r w:rsidRPr="006620E8">
        <w:t>Docket No. RM2007-1, Order Establishing Ratemaking Regulations for Market Dominant and Competitive Products, October 29, 2007 (Order No. 43).</w:t>
      </w:r>
    </w:p>
  </w:footnote>
  <w:footnote w:id="8">
    <w:p w14:paraId="176B041E" w14:textId="55093071" w:rsidR="00D16BB6" w:rsidRPr="006620E8" w:rsidRDefault="00D16BB6" w:rsidP="003E67A4">
      <w:pPr>
        <w:pStyle w:val="FootnoteText"/>
        <w:spacing w:after="120"/>
      </w:pPr>
      <w:r w:rsidRPr="006620E8">
        <w:rPr>
          <w:rStyle w:val="FootnoteReference"/>
        </w:rPr>
        <w:footnoteRef/>
      </w:r>
      <w:r w:rsidRPr="006620E8">
        <w:t xml:space="preserve"> </w:t>
      </w:r>
      <w:r w:rsidR="00B9139F" w:rsidRPr="006620E8">
        <w:rPr>
          <w:i/>
          <w:iCs/>
        </w:rPr>
        <w:t xml:space="preserve">See generally </w:t>
      </w:r>
      <w:r w:rsidRPr="006620E8">
        <w:t xml:space="preserve">Docket No. RM2016-2, Order Concerning United Parcel Service, Inc.’s Proposed Changes to Postal Service Costing Methodologies (UPS Proposals One, Two, and Three), September </w:t>
      </w:r>
      <w:r w:rsidR="00B9139F" w:rsidRPr="006620E8">
        <w:t>9, 2016 (Order No. 3506).</w:t>
      </w:r>
    </w:p>
  </w:footnote>
  <w:footnote w:id="9">
    <w:p w14:paraId="628BD41C" w14:textId="1DD1F80E" w:rsidR="00410094" w:rsidRPr="006620E8" w:rsidRDefault="00410094" w:rsidP="005277C3">
      <w:pPr>
        <w:pStyle w:val="FootnoteText"/>
        <w:spacing w:after="120"/>
      </w:pPr>
      <w:r w:rsidRPr="006620E8">
        <w:rPr>
          <w:rStyle w:val="FootnoteReference"/>
        </w:rPr>
        <w:footnoteRef/>
      </w:r>
      <w:r w:rsidRPr="006620E8">
        <w:t xml:space="preserve"> </w:t>
      </w:r>
      <w:r w:rsidR="006051B8" w:rsidRPr="006620E8">
        <w:rPr>
          <w:i/>
          <w:iCs/>
        </w:rPr>
        <w:t xml:space="preserve">See </w:t>
      </w:r>
      <w:r w:rsidR="006051B8" w:rsidRPr="006620E8">
        <w:t>Docket No. RM2022-1, Notice and Order of Proposed Rulemaking on Periodic Reporting, October 8, 2021 (Order No. 6004).</w:t>
      </w:r>
    </w:p>
  </w:footnote>
  <w:footnote w:id="10">
    <w:p w14:paraId="2DB7F0C5" w14:textId="56680162" w:rsidR="003F350B" w:rsidRPr="006620E8" w:rsidRDefault="003F350B" w:rsidP="00CF30A2">
      <w:pPr>
        <w:pStyle w:val="FootnoteText"/>
        <w:spacing w:after="120"/>
      </w:pPr>
      <w:r w:rsidRPr="006620E8">
        <w:rPr>
          <w:rStyle w:val="FootnoteReference"/>
        </w:rPr>
        <w:footnoteRef/>
      </w:r>
      <w:r w:rsidRPr="006620E8">
        <w:t xml:space="preserve"> Order No. 6004 at 2-8.  </w:t>
      </w:r>
      <w:r w:rsidR="008966AE" w:rsidRPr="006620E8">
        <w:t>One of the cases discussed in Order No. 6004</w:t>
      </w:r>
      <w:r w:rsidR="005B705E" w:rsidRPr="006620E8">
        <w:t>—</w:t>
      </w:r>
      <w:r w:rsidR="008966AE" w:rsidRPr="006620E8">
        <w:t>Docket No. RM2020-9</w:t>
      </w:r>
      <w:r w:rsidR="00FA4C2C" w:rsidRPr="006620E8">
        <w:t>,</w:t>
      </w:r>
      <w:r w:rsidR="0006411B" w:rsidRPr="006620E8">
        <w:t xml:space="preserve"> in which the Commission denied a proposal</w:t>
      </w:r>
      <w:r w:rsidR="00A845EA" w:rsidRPr="006620E8">
        <w:t xml:space="preserve"> to increase the </w:t>
      </w:r>
      <w:r w:rsidR="001137FE" w:rsidRPr="006620E8">
        <w:t>level of peak season costs attributed to Competitive products</w:t>
      </w:r>
      <w:r w:rsidR="005B705E" w:rsidRPr="006620E8">
        <w:t>—</w:t>
      </w:r>
      <w:r w:rsidR="00FA4C2C" w:rsidRPr="006620E8">
        <w:t xml:space="preserve">is currently the subject of appellate proceedings in the United States Court of Appeals for the District of Columbia Circuit.  </w:t>
      </w:r>
      <w:r w:rsidR="00295A46" w:rsidRPr="006620E8">
        <w:rPr>
          <w:i/>
          <w:iCs/>
        </w:rPr>
        <w:t xml:space="preserve">See </w:t>
      </w:r>
      <w:r w:rsidR="00295A46" w:rsidRPr="006620E8">
        <w:t xml:space="preserve">Docket No. RM2020-9, </w:t>
      </w:r>
      <w:r w:rsidR="00C820E2" w:rsidRPr="006620E8">
        <w:t xml:space="preserve">Order Rejecting </w:t>
      </w:r>
      <w:r w:rsidR="00027B84" w:rsidRPr="006620E8">
        <w:t xml:space="preserve">United Parcel Service, Inc.’s Proposed Changes to Postal Service Costing Methodologies (UPS Proposal One), </w:t>
      </w:r>
      <w:r w:rsidR="009F075C" w:rsidRPr="006620E8">
        <w:t xml:space="preserve">November 29, 2021 (Order No. 6048); Docket No. RM2020-9, Order Denying </w:t>
      </w:r>
      <w:r w:rsidR="00222E99" w:rsidRPr="006620E8">
        <w:t xml:space="preserve">United Parcel Service, Inc.’s Motion for Reconsideration of Order No. 6048, January 28, 2022 (Order No. 6097); </w:t>
      </w:r>
      <w:r w:rsidR="00295A46" w:rsidRPr="006620E8">
        <w:t>Pet</w:t>
      </w:r>
      <w:r w:rsidR="007752A8" w:rsidRPr="006620E8">
        <w:t>.</w:t>
      </w:r>
      <w:r w:rsidR="00295A46" w:rsidRPr="006620E8">
        <w:t xml:space="preserve"> for Review, </w:t>
      </w:r>
      <w:r w:rsidR="00BA07B6" w:rsidRPr="006620E8">
        <w:rPr>
          <w:i/>
          <w:iCs/>
        </w:rPr>
        <w:t>United Parcel Serv., Inc.</w:t>
      </w:r>
      <w:r w:rsidR="003B6EC0" w:rsidRPr="006620E8">
        <w:rPr>
          <w:i/>
          <w:iCs/>
        </w:rPr>
        <w:t xml:space="preserve"> v. </w:t>
      </w:r>
      <w:r w:rsidR="00BA07B6" w:rsidRPr="006620E8">
        <w:rPr>
          <w:i/>
          <w:iCs/>
        </w:rPr>
        <w:t xml:space="preserve">Postal </w:t>
      </w:r>
      <w:proofErr w:type="spellStart"/>
      <w:r w:rsidR="00BA07B6" w:rsidRPr="006620E8">
        <w:rPr>
          <w:i/>
          <w:iCs/>
        </w:rPr>
        <w:t>Regul</w:t>
      </w:r>
      <w:proofErr w:type="spellEnd"/>
      <w:r w:rsidR="00BA07B6" w:rsidRPr="006620E8">
        <w:rPr>
          <w:i/>
          <w:iCs/>
        </w:rPr>
        <w:t>. Comm’n</w:t>
      </w:r>
      <w:r w:rsidR="003B6EC0" w:rsidRPr="006620E8">
        <w:t xml:space="preserve">, </w:t>
      </w:r>
      <w:r w:rsidR="00295A46" w:rsidRPr="006620E8">
        <w:t>No. 22-1029 (D.C. Cir</w:t>
      </w:r>
      <w:r w:rsidR="000C6626" w:rsidRPr="006620E8">
        <w:t>.</w:t>
      </w:r>
      <w:r w:rsidR="00295A46" w:rsidRPr="006620E8">
        <w:t xml:space="preserve"> </w:t>
      </w:r>
      <w:r w:rsidR="00E705AA" w:rsidRPr="006620E8">
        <w:t>f</w:t>
      </w:r>
      <w:r w:rsidR="00295A46" w:rsidRPr="006620E8">
        <w:t>iled Feb. 25, 2022)</w:t>
      </w:r>
      <w:r w:rsidR="00344EF6" w:rsidRPr="006620E8">
        <w:t xml:space="preserve">, ECF No. </w:t>
      </w:r>
      <w:r w:rsidR="000F1A42" w:rsidRPr="006620E8">
        <w:t>1937117</w:t>
      </w:r>
      <w:r w:rsidR="00295A46" w:rsidRPr="006620E8">
        <w:t>.</w:t>
      </w:r>
    </w:p>
    <w:p w14:paraId="3D0B2D71" w14:textId="07D21379" w:rsidR="008F4E2C" w:rsidRPr="006620E8" w:rsidRDefault="008F4E2C" w:rsidP="005277C3">
      <w:pPr>
        <w:pStyle w:val="FootnoteText"/>
        <w:spacing w:after="120"/>
      </w:pPr>
      <w:r w:rsidRPr="006620E8">
        <w:t>For a summary of the Commission’s first strategic rulemaking proceeding, see Docket No. RM2011-3, Order Closing Docket, November 3, 2015 (Order No. 2798).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1535" w14:textId="2578CB74" w:rsidR="006179F4" w:rsidRPr="00746609" w:rsidRDefault="00F96F10" w:rsidP="00F96F10">
    <w:pPr>
      <w:pStyle w:val="Header"/>
      <w:ind w:firstLine="0"/>
      <w:rPr>
        <w:sz w:val="20"/>
        <w:szCs w:val="20"/>
      </w:rPr>
    </w:pPr>
    <w:r w:rsidRPr="00746609">
      <w:rPr>
        <w:sz w:val="20"/>
        <w:szCs w:val="20"/>
      </w:rPr>
      <w:t xml:space="preserve">Docket No. </w:t>
    </w:r>
    <w:r w:rsidR="009950B5">
      <w:rPr>
        <w:sz w:val="20"/>
        <w:szCs w:val="20"/>
      </w:rPr>
      <w:t>PI2023-</w:t>
    </w:r>
    <w:r w:rsidR="001039EC">
      <w:rPr>
        <w:sz w:val="20"/>
        <w:szCs w:val="20"/>
      </w:rPr>
      <w:t>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sidR="00831078">
      <w:rPr>
        <w:noProof/>
        <w:sz w:val="20"/>
        <w:szCs w:val="20"/>
      </w:rPr>
      <w:t>- 2 -</w:t>
    </w:r>
    <w:r w:rsidRPr="00746609">
      <w:rPr>
        <w:sz w:val="20"/>
        <w:szCs w:val="20"/>
      </w:rPr>
      <w:fldChar w:fldCharType="end"/>
    </w:r>
    <w:r w:rsidR="00C766FC">
      <w:rPr>
        <w:sz w:val="20"/>
        <w:szCs w:val="20"/>
      </w:rPr>
      <w:tab/>
    </w:r>
    <w:r w:rsidR="00EF062D">
      <w:rPr>
        <w:sz w:val="20"/>
        <w:szCs w:val="20"/>
      </w:rPr>
      <w:t xml:space="preserve">Order No. </w:t>
    </w:r>
    <w:r w:rsidR="00485600">
      <w:rPr>
        <w:sz w:val="20"/>
        <w:szCs w:val="20"/>
      </w:rPr>
      <w:t>6471</w:t>
    </w:r>
    <w:r w:rsidRPr="00746609">
      <w:rPr>
        <w:sz w:val="20"/>
        <w:szCs w:val="20"/>
      </w:rPr>
      <w:br/>
    </w:r>
    <w:r w:rsidRPr="00746609">
      <w:rPr>
        <w:sz w:val="20"/>
        <w:szCs w:val="20"/>
      </w:rPr>
      <w:br/>
    </w:r>
    <w:r w:rsidRPr="00746609">
      <w:rPr>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482F" w14:textId="4E84169F" w:rsidR="006179F4" w:rsidRPr="00D92918" w:rsidRDefault="006179F4" w:rsidP="006565E9">
    <w:pPr>
      <w:pStyle w:val="Header"/>
      <w:ind w:firstLine="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E097" w14:textId="548C6B34" w:rsidR="008E0306" w:rsidRPr="00746609" w:rsidRDefault="008E0306" w:rsidP="007E5130">
    <w:pPr>
      <w:pStyle w:val="Header"/>
      <w:tabs>
        <w:tab w:val="clear" w:pos="4680"/>
        <w:tab w:val="clear" w:pos="9360"/>
        <w:tab w:val="left" w:pos="6480"/>
      </w:tabs>
      <w:ind w:firstLine="0"/>
      <w:rPr>
        <w:sz w:val="20"/>
        <w:szCs w:val="20"/>
      </w:rPr>
    </w:pPr>
    <w:r w:rsidRPr="00746609">
      <w:rPr>
        <w:sz w:val="20"/>
        <w:szCs w:val="20"/>
      </w:rPr>
      <w:t xml:space="preserve">Docket No. </w:t>
    </w:r>
    <w:r>
      <w:rPr>
        <w:sz w:val="20"/>
        <w:szCs w:val="20"/>
      </w:rPr>
      <w:t>PI2023-2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noProof/>
        <w:sz w:val="20"/>
        <w:szCs w:val="20"/>
      </w:rPr>
      <w:t>- 2 -</w:t>
    </w:r>
    <w:r w:rsidRPr="00746609">
      <w:rPr>
        <w:sz w:val="20"/>
        <w:szCs w:val="20"/>
      </w:rPr>
      <w:fldChar w:fldCharType="end"/>
    </w:r>
    <w:r>
      <w:rPr>
        <w:sz w:val="20"/>
        <w:szCs w:val="20"/>
      </w:rPr>
      <w:tab/>
    </w:r>
    <w:r w:rsidR="007E5130">
      <w:rPr>
        <w:sz w:val="20"/>
        <w:szCs w:val="20"/>
      </w:rPr>
      <w:tab/>
    </w:r>
    <w:r w:rsidR="007E5130">
      <w:rPr>
        <w:sz w:val="20"/>
        <w:szCs w:val="20"/>
      </w:rPr>
      <w:tab/>
    </w:r>
    <w:r w:rsidR="007E5130">
      <w:rPr>
        <w:sz w:val="20"/>
        <w:szCs w:val="20"/>
      </w:rPr>
      <w:tab/>
    </w:r>
    <w:r w:rsidR="007E5130">
      <w:rPr>
        <w:sz w:val="20"/>
        <w:szCs w:val="20"/>
      </w:rPr>
      <w:tab/>
    </w:r>
    <w:r w:rsidR="007E5130">
      <w:rPr>
        <w:sz w:val="20"/>
        <w:szCs w:val="20"/>
      </w:rPr>
      <w:tab/>
    </w:r>
    <w:r w:rsidR="007E5130">
      <w:rPr>
        <w:sz w:val="20"/>
        <w:szCs w:val="20"/>
      </w:rPr>
      <w:tab/>
    </w:r>
    <w:r>
      <w:rPr>
        <w:sz w:val="20"/>
        <w:szCs w:val="20"/>
      </w:rPr>
      <w:t xml:space="preserve">Order No. </w:t>
    </w:r>
    <w:r w:rsidR="00485600">
      <w:rPr>
        <w:sz w:val="20"/>
        <w:szCs w:val="20"/>
      </w:rPr>
      <w:t>6471</w:t>
    </w:r>
    <w:r w:rsidRPr="00746609">
      <w:rPr>
        <w:sz w:val="20"/>
        <w:szCs w:val="20"/>
      </w:rPr>
      <w:br/>
    </w:r>
    <w:r w:rsidRPr="00746609">
      <w:rPr>
        <w:sz w:val="20"/>
        <w:szCs w:val="20"/>
      </w:rPr>
      <w:br/>
    </w:r>
    <w:r w:rsidRPr="00746609">
      <w:rPr>
        <w:sz w:val="20"/>
        <w:szCs w:val="20"/>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FA30" w14:textId="7E365532" w:rsidR="008E0306" w:rsidRPr="00D92918" w:rsidRDefault="008E0306" w:rsidP="007E5130">
    <w:pPr>
      <w:pStyle w:val="Header"/>
      <w:tabs>
        <w:tab w:val="clear" w:pos="4680"/>
        <w:tab w:val="center" w:pos="6480"/>
      </w:tabs>
      <w:ind w:firstLine="0"/>
      <w:rPr>
        <w:sz w:val="20"/>
        <w:szCs w:val="20"/>
      </w:rPr>
    </w:pPr>
    <w:r w:rsidRPr="00746609">
      <w:rPr>
        <w:sz w:val="20"/>
        <w:szCs w:val="20"/>
      </w:rPr>
      <w:t xml:space="preserve">Docket No. </w:t>
    </w:r>
    <w:r>
      <w:rPr>
        <w:sz w:val="20"/>
        <w:szCs w:val="20"/>
      </w:rPr>
      <w:t>PI2023-2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sz w:val="20"/>
        <w:szCs w:val="20"/>
      </w:rPr>
      <w:t>- 12 -</w:t>
    </w:r>
    <w:r w:rsidRPr="00746609">
      <w:rPr>
        <w:sz w:val="20"/>
        <w:szCs w:val="20"/>
      </w:rPr>
      <w:fldChar w:fldCharType="end"/>
    </w:r>
    <w:r>
      <w:rPr>
        <w:sz w:val="20"/>
        <w:szCs w:val="20"/>
      </w:rPr>
      <w:tab/>
    </w:r>
    <w:r>
      <w:rPr>
        <w:sz w:val="20"/>
        <w:szCs w:val="20"/>
      </w:rPr>
      <w:tab/>
    </w:r>
    <w:r w:rsidR="007E5130">
      <w:rPr>
        <w:sz w:val="20"/>
        <w:szCs w:val="20"/>
      </w:rPr>
      <w:tab/>
    </w:r>
    <w:r w:rsidR="007E5130">
      <w:rPr>
        <w:sz w:val="20"/>
        <w:szCs w:val="20"/>
      </w:rPr>
      <w:tab/>
    </w:r>
    <w:r>
      <w:rPr>
        <w:sz w:val="20"/>
        <w:szCs w:val="20"/>
      </w:rPr>
      <w:t xml:space="preserve">Order No. </w:t>
    </w:r>
    <w:r w:rsidR="00485600">
      <w:rPr>
        <w:sz w:val="20"/>
        <w:szCs w:val="20"/>
      </w:rPr>
      <w:t>6471</w:t>
    </w:r>
    <w:r w:rsidRPr="00746609">
      <w:rPr>
        <w:sz w:val="20"/>
        <w:szCs w:val="20"/>
      </w:rPr>
      <w:br/>
    </w:r>
    <w:r w:rsidRPr="00746609">
      <w:rPr>
        <w:sz w:val="20"/>
        <w:szCs w:val="20"/>
      </w:rPr>
      <w:br/>
    </w:r>
    <w:r w:rsidRPr="00746609">
      <w:rPr>
        <w:sz w:val="20"/>
        <w:szCs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1B6" w14:textId="61A96CC8" w:rsidR="003001BF" w:rsidRPr="00746609" w:rsidRDefault="003001BF" w:rsidP="003001BF">
    <w:pPr>
      <w:pStyle w:val="Header"/>
      <w:tabs>
        <w:tab w:val="clear" w:pos="4680"/>
        <w:tab w:val="clear" w:pos="9360"/>
        <w:tab w:val="left" w:pos="4500"/>
      </w:tabs>
      <w:ind w:firstLine="0"/>
      <w:rPr>
        <w:sz w:val="20"/>
        <w:szCs w:val="20"/>
      </w:rPr>
    </w:pPr>
    <w:r w:rsidRPr="00746609">
      <w:rPr>
        <w:sz w:val="20"/>
        <w:szCs w:val="20"/>
      </w:rPr>
      <w:t xml:space="preserve">Docket No. </w:t>
    </w:r>
    <w:r>
      <w:rPr>
        <w:sz w:val="20"/>
        <w:szCs w:val="20"/>
      </w:rPr>
      <w:t>PI2023-2</w:t>
    </w:r>
    <w:r>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noProof/>
        <w:sz w:val="20"/>
        <w:szCs w:val="20"/>
      </w:rPr>
      <w:t>- 2 -</w:t>
    </w:r>
    <w:r w:rsidRPr="00746609">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t xml:space="preserve">Order No. </w:t>
    </w:r>
    <w:r w:rsidR="00485600">
      <w:rPr>
        <w:sz w:val="20"/>
        <w:szCs w:val="20"/>
      </w:rPr>
      <w:t>6471</w:t>
    </w:r>
    <w:r w:rsidRPr="00746609">
      <w:rPr>
        <w:sz w:val="20"/>
        <w:szCs w:val="20"/>
      </w:rPr>
      <w:br/>
    </w:r>
    <w:r w:rsidRPr="00746609">
      <w:rPr>
        <w:sz w:val="20"/>
        <w:szCs w:val="20"/>
      </w:rPr>
      <w:br/>
    </w:r>
    <w:r w:rsidRPr="00746609">
      <w:rPr>
        <w:sz w:val="20"/>
        <w:szCs w:val="20"/>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CE22" w14:textId="37E8F1D6" w:rsidR="007E5130" w:rsidRPr="00D92918" w:rsidRDefault="007E5130" w:rsidP="006565E9">
    <w:pPr>
      <w:pStyle w:val="Header"/>
      <w:ind w:firstLine="0"/>
      <w:rPr>
        <w:sz w:val="20"/>
        <w:szCs w:val="20"/>
      </w:rPr>
    </w:pPr>
    <w:r w:rsidRPr="00746609">
      <w:rPr>
        <w:sz w:val="20"/>
        <w:szCs w:val="20"/>
      </w:rPr>
      <w:t xml:space="preserve">Docket No. </w:t>
    </w:r>
    <w:r>
      <w:rPr>
        <w:sz w:val="20"/>
        <w:szCs w:val="20"/>
      </w:rPr>
      <w:t>PI2023-2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sz w:val="20"/>
        <w:szCs w:val="20"/>
      </w:rPr>
      <w:t>- 12 -</w:t>
    </w:r>
    <w:r w:rsidRPr="00746609">
      <w:rPr>
        <w:sz w:val="20"/>
        <w:szCs w:val="20"/>
      </w:rPr>
      <w:fldChar w:fldCharType="end"/>
    </w:r>
    <w:r>
      <w:rPr>
        <w:sz w:val="20"/>
        <w:szCs w:val="20"/>
      </w:rPr>
      <w:tab/>
      <w:t xml:space="preserve">Order No. </w:t>
    </w:r>
    <w:r w:rsidR="00485600">
      <w:rPr>
        <w:sz w:val="20"/>
        <w:szCs w:val="20"/>
      </w:rPr>
      <w:t>6471</w:t>
    </w:r>
    <w:r w:rsidRPr="00746609">
      <w:rPr>
        <w:sz w:val="20"/>
        <w:szCs w:val="20"/>
      </w:rPr>
      <w:br/>
    </w:r>
    <w:r w:rsidRPr="00746609">
      <w:rPr>
        <w:sz w:val="20"/>
        <w:szCs w:val="20"/>
      </w:rPr>
      <w:br/>
    </w:r>
    <w:r w:rsidRPr="00746609">
      <w:rPr>
        <w:sz w:val="20"/>
        <w:szCs w:val="20"/>
      </w:rP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9D42" w14:textId="64CB71B5" w:rsidR="00A33E03" w:rsidRPr="00E00725" w:rsidRDefault="00E00725" w:rsidP="00E00725">
    <w:pPr>
      <w:pStyle w:val="Header"/>
      <w:tabs>
        <w:tab w:val="clear" w:pos="4680"/>
        <w:tab w:val="clear" w:pos="9360"/>
        <w:tab w:val="left" w:pos="6480"/>
      </w:tabs>
      <w:ind w:firstLine="0"/>
      <w:rPr>
        <w:sz w:val="20"/>
        <w:szCs w:val="20"/>
      </w:rPr>
    </w:pPr>
    <w:r w:rsidRPr="00746609">
      <w:rPr>
        <w:sz w:val="20"/>
        <w:szCs w:val="20"/>
      </w:rPr>
      <w:t xml:space="preserve">Docket No. </w:t>
    </w:r>
    <w:r>
      <w:rPr>
        <w:sz w:val="20"/>
        <w:szCs w:val="20"/>
      </w:rPr>
      <w:t>PI2023-2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sz w:val="20"/>
      </w:rPr>
      <w:t>- 5 -</w:t>
    </w:r>
    <w:r w:rsidRPr="00746609">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Order No. 6471</w:t>
    </w:r>
    <w:r w:rsidRPr="00746609">
      <w:rPr>
        <w:sz w:val="20"/>
        <w:szCs w:val="20"/>
      </w:rPr>
      <w:br/>
    </w:r>
    <w:r w:rsidRPr="00746609">
      <w:rPr>
        <w:sz w:val="20"/>
        <w:szCs w:val="20"/>
      </w:rPr>
      <w:br/>
    </w:r>
    <w:r w:rsidRPr="00746609">
      <w:rPr>
        <w:sz w:val="20"/>
        <w:szCs w:val="20"/>
      </w:rP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353" w14:textId="7E234D9B" w:rsidR="00A33E03" w:rsidRPr="00E00725" w:rsidRDefault="00E00725" w:rsidP="00E00725">
    <w:pPr>
      <w:pStyle w:val="Header"/>
      <w:tabs>
        <w:tab w:val="clear" w:pos="4680"/>
        <w:tab w:val="clear" w:pos="9360"/>
        <w:tab w:val="left" w:pos="6480"/>
      </w:tabs>
      <w:ind w:firstLine="0"/>
      <w:rPr>
        <w:sz w:val="20"/>
        <w:szCs w:val="20"/>
      </w:rPr>
    </w:pPr>
    <w:r w:rsidRPr="00746609">
      <w:rPr>
        <w:sz w:val="20"/>
        <w:szCs w:val="20"/>
      </w:rPr>
      <w:t xml:space="preserve">Docket No. </w:t>
    </w:r>
    <w:r>
      <w:rPr>
        <w:sz w:val="20"/>
        <w:szCs w:val="20"/>
      </w:rPr>
      <w:t>PI2023-2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sz w:val="20"/>
      </w:rPr>
      <w:t>- 5 -</w:t>
    </w:r>
    <w:r w:rsidRPr="00746609">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Order No. 6471</w:t>
    </w:r>
    <w:r w:rsidRPr="00746609">
      <w:rPr>
        <w:sz w:val="20"/>
        <w:szCs w:val="20"/>
      </w:rPr>
      <w:br/>
    </w:r>
    <w:r w:rsidRPr="00746609">
      <w:rPr>
        <w:sz w:val="20"/>
        <w:szCs w:val="20"/>
      </w:rPr>
      <w:br/>
    </w:r>
    <w:r w:rsidRPr="00746609">
      <w:rPr>
        <w:sz w:val="20"/>
        <w:szCs w:val="20"/>
      </w:rP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94DD" w14:textId="1E5EC1CE" w:rsidR="00176F73" w:rsidRPr="00D92918" w:rsidRDefault="00176F73" w:rsidP="00A33E03">
    <w:pPr>
      <w:pStyle w:val="Header"/>
      <w:tabs>
        <w:tab w:val="clear" w:pos="4680"/>
        <w:tab w:val="center" w:pos="4500"/>
      </w:tabs>
      <w:ind w:firstLine="0"/>
      <w:rPr>
        <w:sz w:val="20"/>
        <w:szCs w:val="20"/>
      </w:rPr>
    </w:pPr>
    <w:r w:rsidRPr="00746609">
      <w:rPr>
        <w:sz w:val="20"/>
        <w:szCs w:val="20"/>
      </w:rPr>
      <w:t xml:space="preserve">Docket No. </w:t>
    </w:r>
    <w:r>
      <w:rPr>
        <w:sz w:val="20"/>
        <w:szCs w:val="20"/>
      </w:rPr>
      <w:t>PI2023-2</w:t>
    </w:r>
    <w:r w:rsidRPr="00746609">
      <w:rPr>
        <w:sz w:val="20"/>
        <w:szCs w:val="20"/>
      </w:rPr>
      <w:tab/>
    </w:r>
    <w:r w:rsidRPr="00746609">
      <w:rPr>
        <w:sz w:val="20"/>
        <w:szCs w:val="20"/>
      </w:rPr>
      <w:fldChar w:fldCharType="begin"/>
    </w:r>
    <w:r w:rsidRPr="00746609">
      <w:rPr>
        <w:sz w:val="20"/>
        <w:szCs w:val="20"/>
      </w:rPr>
      <w:instrText xml:space="preserve"> PAGE \* ArabicDash  \* MERGEFORMAT </w:instrText>
    </w:r>
    <w:r w:rsidRPr="00746609">
      <w:rPr>
        <w:sz w:val="20"/>
        <w:szCs w:val="20"/>
      </w:rPr>
      <w:fldChar w:fldCharType="separate"/>
    </w:r>
    <w:r>
      <w:rPr>
        <w:sz w:val="20"/>
        <w:szCs w:val="20"/>
      </w:rPr>
      <w:t>- 12 -</w:t>
    </w:r>
    <w:r w:rsidRPr="00746609">
      <w:rPr>
        <w:sz w:val="20"/>
        <w:szCs w:val="20"/>
      </w:rPr>
      <w:fldChar w:fldCharType="end"/>
    </w:r>
    <w:r>
      <w:rPr>
        <w:sz w:val="20"/>
        <w:szCs w:val="20"/>
      </w:rPr>
      <w:tab/>
      <w:t xml:space="preserve">Order No. </w:t>
    </w:r>
    <w:r w:rsidR="00485600">
      <w:rPr>
        <w:sz w:val="20"/>
        <w:szCs w:val="20"/>
      </w:rPr>
      <w:t>6471</w:t>
    </w:r>
    <w:r w:rsidRPr="00746609">
      <w:rPr>
        <w:sz w:val="20"/>
        <w:szCs w:val="20"/>
      </w:rPr>
      <w:br/>
    </w:r>
    <w:r w:rsidRPr="00746609">
      <w:rPr>
        <w:sz w:val="20"/>
        <w:szCs w:val="20"/>
      </w:rPr>
      <w:br/>
    </w:r>
    <w:r w:rsidRPr="00746609">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E1"/>
    <w:multiLevelType w:val="hybridMultilevel"/>
    <w:tmpl w:val="2B7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5236"/>
    <w:multiLevelType w:val="hybridMultilevel"/>
    <w:tmpl w:val="1628436E"/>
    <w:lvl w:ilvl="0" w:tplc="04090001">
      <w:start w:val="1"/>
      <w:numFmt w:val="bullet"/>
      <w:lvlText w:val=""/>
      <w:lvlJc w:val="left"/>
      <w:pPr>
        <w:ind w:left="1510" w:hanging="360"/>
      </w:pPr>
      <w:rPr>
        <w:rFonts w:ascii="Symbol" w:hAnsi="Symbol" w:hint="default"/>
      </w:rPr>
    </w:lvl>
    <w:lvl w:ilvl="1" w:tplc="FFFFFFFF" w:tentative="1">
      <w:start w:val="1"/>
      <w:numFmt w:val="lowerLetter"/>
      <w:lvlText w:val="%2."/>
      <w:lvlJc w:val="left"/>
      <w:pPr>
        <w:ind w:left="2230" w:hanging="360"/>
      </w:pPr>
    </w:lvl>
    <w:lvl w:ilvl="2" w:tplc="FFFFFFFF" w:tentative="1">
      <w:start w:val="1"/>
      <w:numFmt w:val="lowerRoman"/>
      <w:lvlText w:val="%3."/>
      <w:lvlJc w:val="right"/>
      <w:pPr>
        <w:ind w:left="2950" w:hanging="180"/>
      </w:pPr>
    </w:lvl>
    <w:lvl w:ilvl="3" w:tplc="FFFFFFFF" w:tentative="1">
      <w:start w:val="1"/>
      <w:numFmt w:val="decimal"/>
      <w:lvlText w:val="%4."/>
      <w:lvlJc w:val="left"/>
      <w:pPr>
        <w:ind w:left="3670" w:hanging="360"/>
      </w:pPr>
    </w:lvl>
    <w:lvl w:ilvl="4" w:tplc="FFFFFFFF" w:tentative="1">
      <w:start w:val="1"/>
      <w:numFmt w:val="lowerLetter"/>
      <w:lvlText w:val="%5."/>
      <w:lvlJc w:val="left"/>
      <w:pPr>
        <w:ind w:left="4390" w:hanging="360"/>
      </w:pPr>
    </w:lvl>
    <w:lvl w:ilvl="5" w:tplc="FFFFFFFF" w:tentative="1">
      <w:start w:val="1"/>
      <w:numFmt w:val="lowerRoman"/>
      <w:lvlText w:val="%6."/>
      <w:lvlJc w:val="right"/>
      <w:pPr>
        <w:ind w:left="5110" w:hanging="180"/>
      </w:pPr>
    </w:lvl>
    <w:lvl w:ilvl="6" w:tplc="FFFFFFFF" w:tentative="1">
      <w:start w:val="1"/>
      <w:numFmt w:val="decimal"/>
      <w:lvlText w:val="%7."/>
      <w:lvlJc w:val="left"/>
      <w:pPr>
        <w:ind w:left="5830" w:hanging="360"/>
      </w:pPr>
    </w:lvl>
    <w:lvl w:ilvl="7" w:tplc="FFFFFFFF" w:tentative="1">
      <w:start w:val="1"/>
      <w:numFmt w:val="lowerLetter"/>
      <w:lvlText w:val="%8."/>
      <w:lvlJc w:val="left"/>
      <w:pPr>
        <w:ind w:left="6550" w:hanging="360"/>
      </w:pPr>
    </w:lvl>
    <w:lvl w:ilvl="8" w:tplc="FFFFFFFF" w:tentative="1">
      <w:start w:val="1"/>
      <w:numFmt w:val="lowerRoman"/>
      <w:lvlText w:val="%9."/>
      <w:lvlJc w:val="right"/>
      <w:pPr>
        <w:ind w:left="7270" w:hanging="180"/>
      </w:pPr>
    </w:lvl>
  </w:abstractNum>
  <w:abstractNum w:abstractNumId="2" w15:restartNumberingAfterBreak="0">
    <w:nsid w:val="10B17684"/>
    <w:multiLevelType w:val="hybridMultilevel"/>
    <w:tmpl w:val="0AEC70AE"/>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15:restartNumberingAfterBreak="0">
    <w:nsid w:val="2B7E2F7A"/>
    <w:multiLevelType w:val="hybridMultilevel"/>
    <w:tmpl w:val="3B08F454"/>
    <w:lvl w:ilvl="0" w:tplc="BAA6F8FA">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E469FC"/>
    <w:multiLevelType w:val="hybridMultilevel"/>
    <w:tmpl w:val="7DDA7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A5B"/>
    <w:multiLevelType w:val="hybridMultilevel"/>
    <w:tmpl w:val="2B246C0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3391243"/>
    <w:multiLevelType w:val="multilevel"/>
    <w:tmpl w:val="EE64F10A"/>
    <w:lvl w:ilvl="0">
      <w:start w:val="1"/>
      <w:numFmt w:val="upperRoman"/>
      <w:lvlText w:val="%1."/>
      <w:lvlJc w:val="left"/>
      <w:pPr>
        <w:ind w:left="720" w:hanging="720"/>
      </w:pPr>
      <w:rPr>
        <w:rFonts w:ascii="Arial" w:hAnsi="Arial" w:hint="default"/>
        <w:b w:val="0"/>
        <w:bCs w:val="0"/>
        <w:caps/>
        <w:strike w:val="0"/>
        <w:dstrike w:val="0"/>
        <w:vanish w:val="0"/>
        <w:vertAlign w:val="baseline"/>
      </w:rPr>
    </w:lvl>
    <w:lvl w:ilvl="1">
      <w:start w:val="1"/>
      <w:numFmt w:val="upperLetter"/>
      <w:lvlText w:val="%2."/>
      <w:lvlJc w:val="left"/>
      <w:pPr>
        <w:ind w:left="720" w:firstLine="0"/>
      </w:pPr>
      <w:rPr>
        <w:rFonts w:ascii="Arial" w:hAnsi="Arial" w:hint="default"/>
        <w:caps w:val="0"/>
        <w:strike w:val="0"/>
        <w:dstrike w:val="0"/>
        <w:vanish w:val="0"/>
        <w:vertAlign w:val="baseline"/>
      </w:rPr>
    </w:lvl>
    <w:lvl w:ilvl="2">
      <w:start w:val="1"/>
      <w:numFmt w:val="decimal"/>
      <w:lvlText w:val="%3."/>
      <w:lvlJc w:val="left"/>
      <w:pPr>
        <w:ind w:left="720" w:firstLine="720"/>
      </w:pPr>
      <w:rPr>
        <w:rFonts w:ascii="Arial" w:hAnsi="Arial" w:hint="default"/>
        <w:caps w:val="0"/>
        <w:strike w:val="0"/>
        <w:dstrike w:val="0"/>
        <w:vanish w:val="0"/>
        <w:vertAlign w:val="baseline"/>
      </w:rPr>
    </w:lvl>
    <w:lvl w:ilvl="3">
      <w:start w:val="1"/>
      <w:numFmt w:val="lowerLetter"/>
      <w:lvlText w:val="%4."/>
      <w:lvlJc w:val="left"/>
      <w:pPr>
        <w:ind w:left="720" w:firstLine="1440"/>
      </w:pPr>
      <w:rPr>
        <w:rFonts w:ascii="Arial" w:hAnsi="Arial" w:hint="default"/>
        <w:caps w:val="0"/>
        <w:strike w:val="0"/>
        <w:dstrike w:val="0"/>
        <w:vanish w:val="0"/>
        <w:vertAlign w:val="baseline"/>
      </w:rPr>
    </w:lvl>
    <w:lvl w:ilvl="4">
      <w:start w:val="1"/>
      <w:numFmt w:val="decimal"/>
      <w:lvlRestart w:val="0"/>
      <w:lvlText w:val="(%5)"/>
      <w:lvlJc w:val="left"/>
      <w:pPr>
        <w:ind w:left="720" w:firstLine="2160"/>
      </w:pPr>
      <w:rPr>
        <w:rFonts w:ascii="Arial" w:hAnsi="Arial" w:hint="default"/>
        <w:caps w:val="0"/>
        <w:strike w:val="0"/>
        <w:dstrike w:val="0"/>
        <w:vanish w:val="0"/>
        <w:vertAlign w:val="baseline"/>
      </w:rPr>
    </w:lvl>
    <w:lvl w:ilvl="5">
      <w:start w:val="1"/>
      <w:numFmt w:val="lowerLetter"/>
      <w:lvlText w:val="(%6)"/>
      <w:lvlJc w:val="left"/>
      <w:pPr>
        <w:ind w:left="720" w:firstLine="2880"/>
      </w:pPr>
      <w:rPr>
        <w:rFonts w:ascii="Arial" w:hAnsi="Arial" w:hint="default"/>
        <w:caps w:val="0"/>
        <w:strike w:val="0"/>
        <w:dstrike w:val="0"/>
        <w:vanish w:val="0"/>
        <w:vertAlign w:val="baseline"/>
      </w:rPr>
    </w:lvl>
    <w:lvl w:ilvl="6">
      <w:start w:val="1"/>
      <w:numFmt w:val="lowerRoman"/>
      <w:lvlText w:val="(%7)"/>
      <w:lvlJc w:val="left"/>
      <w:pPr>
        <w:ind w:left="720" w:firstLine="3600"/>
      </w:pPr>
      <w:rPr>
        <w:rFonts w:ascii="Arial" w:hAnsi="Arial" w:hint="default"/>
        <w:caps w:val="0"/>
        <w:strike w:val="0"/>
        <w:dstrike w:val="0"/>
        <w:vanish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4B511B"/>
    <w:multiLevelType w:val="hybridMultilevel"/>
    <w:tmpl w:val="BCB292D4"/>
    <w:lvl w:ilvl="0" w:tplc="6068F974">
      <w:start w:val="1"/>
      <w:numFmt w:val="lowerRoman"/>
      <w:pStyle w:val="Heading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C35206"/>
    <w:multiLevelType w:val="hybridMultilevel"/>
    <w:tmpl w:val="8F6A3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25F37"/>
    <w:multiLevelType w:val="hybridMultilevel"/>
    <w:tmpl w:val="2242B2CE"/>
    <w:lvl w:ilvl="0" w:tplc="A842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5C1941"/>
    <w:multiLevelType w:val="singleLevel"/>
    <w:tmpl w:val="E3024034"/>
    <w:lvl w:ilvl="0">
      <w:start w:val="1"/>
      <w:numFmt w:val="lowerLetter"/>
      <w:lvlText w:val="(%1)"/>
      <w:lvlJc w:val="left"/>
      <w:pPr>
        <w:tabs>
          <w:tab w:val="num" w:pos="1800"/>
        </w:tabs>
        <w:ind w:left="1440" w:firstLine="0"/>
      </w:pPr>
    </w:lvl>
  </w:abstractNum>
  <w:abstractNum w:abstractNumId="12" w15:restartNumberingAfterBreak="0">
    <w:nsid w:val="5C993167"/>
    <w:multiLevelType w:val="hybridMultilevel"/>
    <w:tmpl w:val="DD7C6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126FF1"/>
    <w:multiLevelType w:val="hybridMultilevel"/>
    <w:tmpl w:val="CFE61F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195565D"/>
    <w:multiLevelType w:val="hybridMultilevel"/>
    <w:tmpl w:val="2C4EF20E"/>
    <w:lvl w:ilvl="0" w:tplc="EC10B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D7CEC"/>
    <w:multiLevelType w:val="hybridMultilevel"/>
    <w:tmpl w:val="64B26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A342AC"/>
    <w:multiLevelType w:val="hybridMultilevel"/>
    <w:tmpl w:val="02B8C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815CC5"/>
    <w:multiLevelType w:val="singleLevel"/>
    <w:tmpl w:val="0409000F"/>
    <w:lvl w:ilvl="0">
      <w:start w:val="1"/>
      <w:numFmt w:val="decimal"/>
      <w:lvlText w:val="%1."/>
      <w:lvlJc w:val="left"/>
      <w:pPr>
        <w:tabs>
          <w:tab w:val="num" w:pos="360"/>
        </w:tabs>
        <w:ind w:left="360" w:hanging="360"/>
      </w:pPr>
    </w:lvl>
  </w:abstractNum>
  <w:num w:numId="1" w16cid:durableId="1367833868">
    <w:abstractNumId w:val="9"/>
  </w:num>
  <w:num w:numId="2" w16cid:durableId="1948082209">
    <w:abstractNumId w:val="10"/>
  </w:num>
  <w:num w:numId="3" w16cid:durableId="1680737156">
    <w:abstractNumId w:val="7"/>
  </w:num>
  <w:num w:numId="4" w16cid:durableId="1186793368">
    <w:abstractNumId w:val="3"/>
  </w:num>
  <w:num w:numId="5" w16cid:durableId="1007294515">
    <w:abstractNumId w:val="3"/>
    <w:lvlOverride w:ilvl="0">
      <w:startOverride w:val="1"/>
    </w:lvlOverride>
  </w:num>
  <w:num w:numId="6" w16cid:durableId="870799383">
    <w:abstractNumId w:val="6"/>
  </w:num>
  <w:num w:numId="7" w16cid:durableId="873468538">
    <w:abstractNumId w:val="0"/>
  </w:num>
  <w:num w:numId="8" w16cid:durableId="455491155">
    <w:abstractNumId w:val="4"/>
  </w:num>
  <w:num w:numId="9" w16cid:durableId="451293408">
    <w:abstractNumId w:val="8"/>
  </w:num>
  <w:num w:numId="10" w16cid:durableId="94718619">
    <w:abstractNumId w:val="11"/>
  </w:num>
  <w:num w:numId="11" w16cid:durableId="1549949650">
    <w:abstractNumId w:val="17"/>
  </w:num>
  <w:num w:numId="12" w16cid:durableId="1454666102">
    <w:abstractNumId w:val="2"/>
  </w:num>
  <w:num w:numId="13" w16cid:durableId="795681580">
    <w:abstractNumId w:val="1"/>
  </w:num>
  <w:num w:numId="14" w16cid:durableId="1995716593">
    <w:abstractNumId w:val="16"/>
  </w:num>
  <w:num w:numId="15" w16cid:durableId="997073287">
    <w:abstractNumId w:val="15"/>
  </w:num>
  <w:num w:numId="16" w16cid:durableId="536309472">
    <w:abstractNumId w:val="12"/>
  </w:num>
  <w:num w:numId="17" w16cid:durableId="1364863681">
    <w:abstractNumId w:val="14"/>
  </w:num>
  <w:num w:numId="18" w16cid:durableId="827595940">
    <w:abstractNumId w:val="13"/>
  </w:num>
  <w:num w:numId="19" w16cid:durableId="1352339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2"/>
    <w:rsid w:val="000013B1"/>
    <w:rsid w:val="00002B1A"/>
    <w:rsid w:val="00002F9A"/>
    <w:rsid w:val="00003290"/>
    <w:rsid w:val="000032B4"/>
    <w:rsid w:val="00003A54"/>
    <w:rsid w:val="00005425"/>
    <w:rsid w:val="00005983"/>
    <w:rsid w:val="00006795"/>
    <w:rsid w:val="0001049A"/>
    <w:rsid w:val="000111D1"/>
    <w:rsid w:val="00012225"/>
    <w:rsid w:val="00012301"/>
    <w:rsid w:val="00012466"/>
    <w:rsid w:val="00014C0C"/>
    <w:rsid w:val="00017D2A"/>
    <w:rsid w:val="00021052"/>
    <w:rsid w:val="000215D2"/>
    <w:rsid w:val="00022EDB"/>
    <w:rsid w:val="00026C6A"/>
    <w:rsid w:val="00027473"/>
    <w:rsid w:val="0002749C"/>
    <w:rsid w:val="00027B84"/>
    <w:rsid w:val="0003002A"/>
    <w:rsid w:val="000318AD"/>
    <w:rsid w:val="0003216B"/>
    <w:rsid w:val="00033B92"/>
    <w:rsid w:val="0003416E"/>
    <w:rsid w:val="0003619B"/>
    <w:rsid w:val="0003672E"/>
    <w:rsid w:val="00041384"/>
    <w:rsid w:val="00043500"/>
    <w:rsid w:val="00045503"/>
    <w:rsid w:val="00046BCA"/>
    <w:rsid w:val="00051730"/>
    <w:rsid w:val="00052075"/>
    <w:rsid w:val="00055E17"/>
    <w:rsid w:val="000564E7"/>
    <w:rsid w:val="00057864"/>
    <w:rsid w:val="00057CC0"/>
    <w:rsid w:val="0006019B"/>
    <w:rsid w:val="00063A2E"/>
    <w:rsid w:val="0006411B"/>
    <w:rsid w:val="00065229"/>
    <w:rsid w:val="0006534A"/>
    <w:rsid w:val="0006601C"/>
    <w:rsid w:val="000661AC"/>
    <w:rsid w:val="000676B9"/>
    <w:rsid w:val="00067B41"/>
    <w:rsid w:val="0007142D"/>
    <w:rsid w:val="00071722"/>
    <w:rsid w:val="00075DE4"/>
    <w:rsid w:val="00082C72"/>
    <w:rsid w:val="00082EB1"/>
    <w:rsid w:val="00082F32"/>
    <w:rsid w:val="00083054"/>
    <w:rsid w:val="00084750"/>
    <w:rsid w:val="00091BFC"/>
    <w:rsid w:val="00092B05"/>
    <w:rsid w:val="00093E8A"/>
    <w:rsid w:val="000949D6"/>
    <w:rsid w:val="00096C15"/>
    <w:rsid w:val="000A3078"/>
    <w:rsid w:val="000A4D95"/>
    <w:rsid w:val="000A521B"/>
    <w:rsid w:val="000A5EE4"/>
    <w:rsid w:val="000A6668"/>
    <w:rsid w:val="000B3DEA"/>
    <w:rsid w:val="000B54EA"/>
    <w:rsid w:val="000B612A"/>
    <w:rsid w:val="000B7EA2"/>
    <w:rsid w:val="000C063C"/>
    <w:rsid w:val="000C0AE6"/>
    <w:rsid w:val="000C4DDD"/>
    <w:rsid w:val="000C572D"/>
    <w:rsid w:val="000C6626"/>
    <w:rsid w:val="000D04F2"/>
    <w:rsid w:val="000D2D9B"/>
    <w:rsid w:val="000D5476"/>
    <w:rsid w:val="000D5AEC"/>
    <w:rsid w:val="000D7387"/>
    <w:rsid w:val="000E0186"/>
    <w:rsid w:val="000E05B7"/>
    <w:rsid w:val="000E3587"/>
    <w:rsid w:val="000E3699"/>
    <w:rsid w:val="000E650E"/>
    <w:rsid w:val="000F1A42"/>
    <w:rsid w:val="000F2302"/>
    <w:rsid w:val="000F231B"/>
    <w:rsid w:val="000F2391"/>
    <w:rsid w:val="000F242B"/>
    <w:rsid w:val="000F2BB7"/>
    <w:rsid w:val="000F40CF"/>
    <w:rsid w:val="000F4F26"/>
    <w:rsid w:val="000F7A52"/>
    <w:rsid w:val="000F7EA4"/>
    <w:rsid w:val="001039EC"/>
    <w:rsid w:val="00103E79"/>
    <w:rsid w:val="00104588"/>
    <w:rsid w:val="00104B58"/>
    <w:rsid w:val="001060E3"/>
    <w:rsid w:val="00107330"/>
    <w:rsid w:val="0010749E"/>
    <w:rsid w:val="00107D36"/>
    <w:rsid w:val="00111129"/>
    <w:rsid w:val="001120BF"/>
    <w:rsid w:val="001137FE"/>
    <w:rsid w:val="00113B47"/>
    <w:rsid w:val="0011455F"/>
    <w:rsid w:val="00114B88"/>
    <w:rsid w:val="00116D51"/>
    <w:rsid w:val="001173E5"/>
    <w:rsid w:val="001205AE"/>
    <w:rsid w:val="00121ED1"/>
    <w:rsid w:val="0012226C"/>
    <w:rsid w:val="00122E89"/>
    <w:rsid w:val="00123E30"/>
    <w:rsid w:val="00125589"/>
    <w:rsid w:val="001257A3"/>
    <w:rsid w:val="00130BC8"/>
    <w:rsid w:val="00130F39"/>
    <w:rsid w:val="0013120E"/>
    <w:rsid w:val="00131E72"/>
    <w:rsid w:val="00132E88"/>
    <w:rsid w:val="001347B1"/>
    <w:rsid w:val="00134BEB"/>
    <w:rsid w:val="00135489"/>
    <w:rsid w:val="0013620C"/>
    <w:rsid w:val="0014242F"/>
    <w:rsid w:val="001433CC"/>
    <w:rsid w:val="001438E5"/>
    <w:rsid w:val="00145BFB"/>
    <w:rsid w:val="00147868"/>
    <w:rsid w:val="00147CAF"/>
    <w:rsid w:val="00151531"/>
    <w:rsid w:val="001515AF"/>
    <w:rsid w:val="00151CA0"/>
    <w:rsid w:val="001547B3"/>
    <w:rsid w:val="00154910"/>
    <w:rsid w:val="00155A9D"/>
    <w:rsid w:val="00156AF1"/>
    <w:rsid w:val="00160E54"/>
    <w:rsid w:val="00160F2C"/>
    <w:rsid w:val="001615B3"/>
    <w:rsid w:val="001664AA"/>
    <w:rsid w:val="00166F5D"/>
    <w:rsid w:val="001675A5"/>
    <w:rsid w:val="0017339A"/>
    <w:rsid w:val="00173B39"/>
    <w:rsid w:val="001747B2"/>
    <w:rsid w:val="00174B18"/>
    <w:rsid w:val="001755B8"/>
    <w:rsid w:val="001755CA"/>
    <w:rsid w:val="00175F7A"/>
    <w:rsid w:val="00176F73"/>
    <w:rsid w:val="0017715C"/>
    <w:rsid w:val="001773A5"/>
    <w:rsid w:val="00180772"/>
    <w:rsid w:val="001811C0"/>
    <w:rsid w:val="00184CFC"/>
    <w:rsid w:val="001869D2"/>
    <w:rsid w:val="00190BE8"/>
    <w:rsid w:val="001945F9"/>
    <w:rsid w:val="00194E04"/>
    <w:rsid w:val="001969D2"/>
    <w:rsid w:val="00197945"/>
    <w:rsid w:val="001A01CB"/>
    <w:rsid w:val="001A0C40"/>
    <w:rsid w:val="001A1535"/>
    <w:rsid w:val="001A4291"/>
    <w:rsid w:val="001B0B73"/>
    <w:rsid w:val="001B16A8"/>
    <w:rsid w:val="001B1F4F"/>
    <w:rsid w:val="001B4651"/>
    <w:rsid w:val="001C1555"/>
    <w:rsid w:val="001C1754"/>
    <w:rsid w:val="001C213B"/>
    <w:rsid w:val="001C23AC"/>
    <w:rsid w:val="001C4052"/>
    <w:rsid w:val="001C4F42"/>
    <w:rsid w:val="001D1A96"/>
    <w:rsid w:val="001D2F31"/>
    <w:rsid w:val="001D551E"/>
    <w:rsid w:val="001D5BCD"/>
    <w:rsid w:val="001D61F5"/>
    <w:rsid w:val="001E31E4"/>
    <w:rsid w:val="001E3B84"/>
    <w:rsid w:val="001E3F71"/>
    <w:rsid w:val="001E6212"/>
    <w:rsid w:val="001F1094"/>
    <w:rsid w:val="001F470E"/>
    <w:rsid w:val="00201F26"/>
    <w:rsid w:val="00202227"/>
    <w:rsid w:val="0020273B"/>
    <w:rsid w:val="00211A77"/>
    <w:rsid w:val="00211E22"/>
    <w:rsid w:val="002151CA"/>
    <w:rsid w:val="00215315"/>
    <w:rsid w:val="00215546"/>
    <w:rsid w:val="00222A11"/>
    <w:rsid w:val="00222E99"/>
    <w:rsid w:val="0022346E"/>
    <w:rsid w:val="00225446"/>
    <w:rsid w:val="00225DED"/>
    <w:rsid w:val="00226028"/>
    <w:rsid w:val="0022740C"/>
    <w:rsid w:val="00227BE2"/>
    <w:rsid w:val="002319CA"/>
    <w:rsid w:val="00231BFD"/>
    <w:rsid w:val="002322A4"/>
    <w:rsid w:val="00237633"/>
    <w:rsid w:val="00241CB8"/>
    <w:rsid w:val="002421B3"/>
    <w:rsid w:val="00243011"/>
    <w:rsid w:val="00245523"/>
    <w:rsid w:val="0024591A"/>
    <w:rsid w:val="00245CBA"/>
    <w:rsid w:val="002478CE"/>
    <w:rsid w:val="00250251"/>
    <w:rsid w:val="00251D99"/>
    <w:rsid w:val="00252B34"/>
    <w:rsid w:val="00252EDC"/>
    <w:rsid w:val="0025497A"/>
    <w:rsid w:val="00257F93"/>
    <w:rsid w:val="002609B1"/>
    <w:rsid w:val="002610B8"/>
    <w:rsid w:val="00261877"/>
    <w:rsid w:val="00261967"/>
    <w:rsid w:val="0026401B"/>
    <w:rsid w:val="00264AD9"/>
    <w:rsid w:val="00266683"/>
    <w:rsid w:val="002678F4"/>
    <w:rsid w:val="00274969"/>
    <w:rsid w:val="00275489"/>
    <w:rsid w:val="00275CF6"/>
    <w:rsid w:val="0027617E"/>
    <w:rsid w:val="00277750"/>
    <w:rsid w:val="00277EB6"/>
    <w:rsid w:val="002817FD"/>
    <w:rsid w:val="00281BFA"/>
    <w:rsid w:val="002834FC"/>
    <w:rsid w:val="0028384D"/>
    <w:rsid w:val="00283DBA"/>
    <w:rsid w:val="0028417F"/>
    <w:rsid w:val="0028479D"/>
    <w:rsid w:val="00287B7A"/>
    <w:rsid w:val="00293631"/>
    <w:rsid w:val="00294651"/>
    <w:rsid w:val="00294B5D"/>
    <w:rsid w:val="00295A46"/>
    <w:rsid w:val="00296FD0"/>
    <w:rsid w:val="002A069F"/>
    <w:rsid w:val="002A0BF4"/>
    <w:rsid w:val="002A0D04"/>
    <w:rsid w:val="002A1934"/>
    <w:rsid w:val="002A32A6"/>
    <w:rsid w:val="002A6586"/>
    <w:rsid w:val="002A65F5"/>
    <w:rsid w:val="002A6678"/>
    <w:rsid w:val="002B0220"/>
    <w:rsid w:val="002B26A6"/>
    <w:rsid w:val="002B3F67"/>
    <w:rsid w:val="002B6F6C"/>
    <w:rsid w:val="002C1399"/>
    <w:rsid w:val="002C2030"/>
    <w:rsid w:val="002C2A7A"/>
    <w:rsid w:val="002C3C1A"/>
    <w:rsid w:val="002C4108"/>
    <w:rsid w:val="002C4C02"/>
    <w:rsid w:val="002C7728"/>
    <w:rsid w:val="002C7915"/>
    <w:rsid w:val="002D03D2"/>
    <w:rsid w:val="002D201D"/>
    <w:rsid w:val="002D3860"/>
    <w:rsid w:val="002D46EB"/>
    <w:rsid w:val="002D5319"/>
    <w:rsid w:val="002D54EC"/>
    <w:rsid w:val="002D6401"/>
    <w:rsid w:val="002D7E8B"/>
    <w:rsid w:val="002E1975"/>
    <w:rsid w:val="002E2237"/>
    <w:rsid w:val="002E2B08"/>
    <w:rsid w:val="002E4984"/>
    <w:rsid w:val="002E60DD"/>
    <w:rsid w:val="002E69B5"/>
    <w:rsid w:val="002F0056"/>
    <w:rsid w:val="002F59B6"/>
    <w:rsid w:val="003001BF"/>
    <w:rsid w:val="003011B2"/>
    <w:rsid w:val="00301D14"/>
    <w:rsid w:val="003031E6"/>
    <w:rsid w:val="00305E1F"/>
    <w:rsid w:val="0030705B"/>
    <w:rsid w:val="00312759"/>
    <w:rsid w:val="00315B0A"/>
    <w:rsid w:val="00316A0E"/>
    <w:rsid w:val="00321E4B"/>
    <w:rsid w:val="00322925"/>
    <w:rsid w:val="003257C0"/>
    <w:rsid w:val="0032701C"/>
    <w:rsid w:val="00330A7A"/>
    <w:rsid w:val="003336B4"/>
    <w:rsid w:val="00334090"/>
    <w:rsid w:val="003348C7"/>
    <w:rsid w:val="00340595"/>
    <w:rsid w:val="00341F1D"/>
    <w:rsid w:val="0034266D"/>
    <w:rsid w:val="0034341C"/>
    <w:rsid w:val="00343A23"/>
    <w:rsid w:val="00344EF6"/>
    <w:rsid w:val="003457AB"/>
    <w:rsid w:val="00345FAC"/>
    <w:rsid w:val="0035002E"/>
    <w:rsid w:val="00351970"/>
    <w:rsid w:val="003523C5"/>
    <w:rsid w:val="003527F1"/>
    <w:rsid w:val="00353193"/>
    <w:rsid w:val="00355288"/>
    <w:rsid w:val="00355F0A"/>
    <w:rsid w:val="003655E4"/>
    <w:rsid w:val="00366418"/>
    <w:rsid w:val="00374525"/>
    <w:rsid w:val="003755B0"/>
    <w:rsid w:val="003777CD"/>
    <w:rsid w:val="00381B85"/>
    <w:rsid w:val="003842DC"/>
    <w:rsid w:val="00384C06"/>
    <w:rsid w:val="00390240"/>
    <w:rsid w:val="00390A16"/>
    <w:rsid w:val="003915F2"/>
    <w:rsid w:val="003916BB"/>
    <w:rsid w:val="003944F1"/>
    <w:rsid w:val="00394A5F"/>
    <w:rsid w:val="003A0C8E"/>
    <w:rsid w:val="003A144A"/>
    <w:rsid w:val="003A2B8A"/>
    <w:rsid w:val="003A534D"/>
    <w:rsid w:val="003A6770"/>
    <w:rsid w:val="003A6824"/>
    <w:rsid w:val="003A7D06"/>
    <w:rsid w:val="003B0306"/>
    <w:rsid w:val="003B1E4F"/>
    <w:rsid w:val="003B1E6E"/>
    <w:rsid w:val="003B5130"/>
    <w:rsid w:val="003B61C7"/>
    <w:rsid w:val="003B6EC0"/>
    <w:rsid w:val="003B701F"/>
    <w:rsid w:val="003B7180"/>
    <w:rsid w:val="003B76B3"/>
    <w:rsid w:val="003B7E7F"/>
    <w:rsid w:val="003C054E"/>
    <w:rsid w:val="003C2056"/>
    <w:rsid w:val="003C369D"/>
    <w:rsid w:val="003C630F"/>
    <w:rsid w:val="003C63A5"/>
    <w:rsid w:val="003C6F13"/>
    <w:rsid w:val="003D0D08"/>
    <w:rsid w:val="003D1114"/>
    <w:rsid w:val="003D14CA"/>
    <w:rsid w:val="003D19B0"/>
    <w:rsid w:val="003D28F5"/>
    <w:rsid w:val="003D3FB6"/>
    <w:rsid w:val="003D6516"/>
    <w:rsid w:val="003D7B8B"/>
    <w:rsid w:val="003E1BD6"/>
    <w:rsid w:val="003E2293"/>
    <w:rsid w:val="003E3628"/>
    <w:rsid w:val="003E5DC1"/>
    <w:rsid w:val="003E67A4"/>
    <w:rsid w:val="003E7EFB"/>
    <w:rsid w:val="003F080B"/>
    <w:rsid w:val="003F0D80"/>
    <w:rsid w:val="003F1CB5"/>
    <w:rsid w:val="003F350B"/>
    <w:rsid w:val="003F36FF"/>
    <w:rsid w:val="003F3C17"/>
    <w:rsid w:val="003F6DE1"/>
    <w:rsid w:val="003F7C45"/>
    <w:rsid w:val="004008AB"/>
    <w:rsid w:val="004032DF"/>
    <w:rsid w:val="00404035"/>
    <w:rsid w:val="00404914"/>
    <w:rsid w:val="00404A85"/>
    <w:rsid w:val="00404ACD"/>
    <w:rsid w:val="00405737"/>
    <w:rsid w:val="00405E1D"/>
    <w:rsid w:val="0040695C"/>
    <w:rsid w:val="00407514"/>
    <w:rsid w:val="00410094"/>
    <w:rsid w:val="00411995"/>
    <w:rsid w:val="00412986"/>
    <w:rsid w:val="00413C52"/>
    <w:rsid w:val="00415EE1"/>
    <w:rsid w:val="00416535"/>
    <w:rsid w:val="00417ECD"/>
    <w:rsid w:val="004201F6"/>
    <w:rsid w:val="00421504"/>
    <w:rsid w:val="00426030"/>
    <w:rsid w:val="004270E5"/>
    <w:rsid w:val="00427A21"/>
    <w:rsid w:val="00427DF3"/>
    <w:rsid w:val="00427E57"/>
    <w:rsid w:val="00431ECC"/>
    <w:rsid w:val="00432001"/>
    <w:rsid w:val="00432CFC"/>
    <w:rsid w:val="00433AC1"/>
    <w:rsid w:val="00434557"/>
    <w:rsid w:val="00434B97"/>
    <w:rsid w:val="0043523B"/>
    <w:rsid w:val="00435EC2"/>
    <w:rsid w:val="00436E14"/>
    <w:rsid w:val="004376C7"/>
    <w:rsid w:val="00441880"/>
    <w:rsid w:val="00441956"/>
    <w:rsid w:val="00441D30"/>
    <w:rsid w:val="00441D39"/>
    <w:rsid w:val="004441F1"/>
    <w:rsid w:val="004449B1"/>
    <w:rsid w:val="0044609F"/>
    <w:rsid w:val="0044704C"/>
    <w:rsid w:val="00447E15"/>
    <w:rsid w:val="00453B5D"/>
    <w:rsid w:val="00460BA1"/>
    <w:rsid w:val="0046144C"/>
    <w:rsid w:val="00461EDD"/>
    <w:rsid w:val="004648BE"/>
    <w:rsid w:val="004650B5"/>
    <w:rsid w:val="0046540C"/>
    <w:rsid w:val="004662AD"/>
    <w:rsid w:val="00466982"/>
    <w:rsid w:val="004728B0"/>
    <w:rsid w:val="0047391B"/>
    <w:rsid w:val="00473E95"/>
    <w:rsid w:val="00475688"/>
    <w:rsid w:val="0047759C"/>
    <w:rsid w:val="00480D4A"/>
    <w:rsid w:val="004811D7"/>
    <w:rsid w:val="00482036"/>
    <w:rsid w:val="00482B8C"/>
    <w:rsid w:val="0048441F"/>
    <w:rsid w:val="00484896"/>
    <w:rsid w:val="00485600"/>
    <w:rsid w:val="00486937"/>
    <w:rsid w:val="004918DC"/>
    <w:rsid w:val="00492E78"/>
    <w:rsid w:val="00494445"/>
    <w:rsid w:val="004944FF"/>
    <w:rsid w:val="00494668"/>
    <w:rsid w:val="004956CC"/>
    <w:rsid w:val="004965F3"/>
    <w:rsid w:val="00496EAA"/>
    <w:rsid w:val="00496EB4"/>
    <w:rsid w:val="004974B2"/>
    <w:rsid w:val="004A03E8"/>
    <w:rsid w:val="004A1FD7"/>
    <w:rsid w:val="004B1120"/>
    <w:rsid w:val="004B2D69"/>
    <w:rsid w:val="004B2EA2"/>
    <w:rsid w:val="004B4DA3"/>
    <w:rsid w:val="004C1EA6"/>
    <w:rsid w:val="004C1F94"/>
    <w:rsid w:val="004C2983"/>
    <w:rsid w:val="004C4DF2"/>
    <w:rsid w:val="004C632F"/>
    <w:rsid w:val="004D40E5"/>
    <w:rsid w:val="004D435F"/>
    <w:rsid w:val="004D572C"/>
    <w:rsid w:val="004D70E2"/>
    <w:rsid w:val="004D724E"/>
    <w:rsid w:val="004D7A9E"/>
    <w:rsid w:val="004E0944"/>
    <w:rsid w:val="004E4B81"/>
    <w:rsid w:val="004E5AD3"/>
    <w:rsid w:val="004E7163"/>
    <w:rsid w:val="004E7620"/>
    <w:rsid w:val="004F00C3"/>
    <w:rsid w:val="004F0101"/>
    <w:rsid w:val="004F06C1"/>
    <w:rsid w:val="004F1BFC"/>
    <w:rsid w:val="004F1DA9"/>
    <w:rsid w:val="004F2C71"/>
    <w:rsid w:val="004F4B31"/>
    <w:rsid w:val="004F530C"/>
    <w:rsid w:val="004F54F1"/>
    <w:rsid w:val="0050291B"/>
    <w:rsid w:val="00502A40"/>
    <w:rsid w:val="00503895"/>
    <w:rsid w:val="00506D81"/>
    <w:rsid w:val="00507004"/>
    <w:rsid w:val="005073B5"/>
    <w:rsid w:val="0050782B"/>
    <w:rsid w:val="00507D1B"/>
    <w:rsid w:val="00510ECD"/>
    <w:rsid w:val="0051209C"/>
    <w:rsid w:val="00514214"/>
    <w:rsid w:val="00515B02"/>
    <w:rsid w:val="0051747C"/>
    <w:rsid w:val="005216DF"/>
    <w:rsid w:val="005223FF"/>
    <w:rsid w:val="005225A0"/>
    <w:rsid w:val="0052648A"/>
    <w:rsid w:val="005267C0"/>
    <w:rsid w:val="005277BE"/>
    <w:rsid w:val="005277C3"/>
    <w:rsid w:val="00527D72"/>
    <w:rsid w:val="0053204B"/>
    <w:rsid w:val="00533E42"/>
    <w:rsid w:val="00535AD6"/>
    <w:rsid w:val="00537791"/>
    <w:rsid w:val="00537A3B"/>
    <w:rsid w:val="00541CB0"/>
    <w:rsid w:val="005465AD"/>
    <w:rsid w:val="0054693E"/>
    <w:rsid w:val="00546A18"/>
    <w:rsid w:val="005537E9"/>
    <w:rsid w:val="005551AB"/>
    <w:rsid w:val="00555931"/>
    <w:rsid w:val="00555C89"/>
    <w:rsid w:val="00556403"/>
    <w:rsid w:val="00557168"/>
    <w:rsid w:val="0055775C"/>
    <w:rsid w:val="00561513"/>
    <w:rsid w:val="00561CC2"/>
    <w:rsid w:val="0056448C"/>
    <w:rsid w:val="00564846"/>
    <w:rsid w:val="00564ED4"/>
    <w:rsid w:val="00567514"/>
    <w:rsid w:val="00567DCB"/>
    <w:rsid w:val="00570393"/>
    <w:rsid w:val="005712C5"/>
    <w:rsid w:val="0057267F"/>
    <w:rsid w:val="00572C08"/>
    <w:rsid w:val="005736AF"/>
    <w:rsid w:val="00574468"/>
    <w:rsid w:val="00576393"/>
    <w:rsid w:val="00576F58"/>
    <w:rsid w:val="00580EA5"/>
    <w:rsid w:val="005825E1"/>
    <w:rsid w:val="0058488D"/>
    <w:rsid w:val="005904DB"/>
    <w:rsid w:val="00590A92"/>
    <w:rsid w:val="0059146A"/>
    <w:rsid w:val="00593B12"/>
    <w:rsid w:val="005940A4"/>
    <w:rsid w:val="0059431C"/>
    <w:rsid w:val="005944F7"/>
    <w:rsid w:val="005960E8"/>
    <w:rsid w:val="0059615C"/>
    <w:rsid w:val="005A06A5"/>
    <w:rsid w:val="005A4F35"/>
    <w:rsid w:val="005A63D3"/>
    <w:rsid w:val="005A6D7D"/>
    <w:rsid w:val="005B0BA5"/>
    <w:rsid w:val="005B14B2"/>
    <w:rsid w:val="005B1CB6"/>
    <w:rsid w:val="005B2521"/>
    <w:rsid w:val="005B25E9"/>
    <w:rsid w:val="005B3F14"/>
    <w:rsid w:val="005B5BB9"/>
    <w:rsid w:val="005B705E"/>
    <w:rsid w:val="005B7762"/>
    <w:rsid w:val="005B79A9"/>
    <w:rsid w:val="005C00E1"/>
    <w:rsid w:val="005C01D0"/>
    <w:rsid w:val="005C0B5D"/>
    <w:rsid w:val="005C19BB"/>
    <w:rsid w:val="005C2DC2"/>
    <w:rsid w:val="005C2F84"/>
    <w:rsid w:val="005D1225"/>
    <w:rsid w:val="005D1B1B"/>
    <w:rsid w:val="005D1BAB"/>
    <w:rsid w:val="005D2A34"/>
    <w:rsid w:val="005D3E3C"/>
    <w:rsid w:val="005D3FBD"/>
    <w:rsid w:val="005D429F"/>
    <w:rsid w:val="005D61C6"/>
    <w:rsid w:val="005D63B7"/>
    <w:rsid w:val="005D73EE"/>
    <w:rsid w:val="005E2E6A"/>
    <w:rsid w:val="005E4B18"/>
    <w:rsid w:val="005E4DA0"/>
    <w:rsid w:val="005E5D6D"/>
    <w:rsid w:val="005E6D00"/>
    <w:rsid w:val="005F31F3"/>
    <w:rsid w:val="005F5F13"/>
    <w:rsid w:val="005F659B"/>
    <w:rsid w:val="005F6B7C"/>
    <w:rsid w:val="005F7D4E"/>
    <w:rsid w:val="00600F77"/>
    <w:rsid w:val="00601F91"/>
    <w:rsid w:val="00602A3C"/>
    <w:rsid w:val="006051B8"/>
    <w:rsid w:val="0060756D"/>
    <w:rsid w:val="00607E57"/>
    <w:rsid w:val="00610A37"/>
    <w:rsid w:val="00615319"/>
    <w:rsid w:val="00615F99"/>
    <w:rsid w:val="006179F4"/>
    <w:rsid w:val="00623990"/>
    <w:rsid w:val="00623ABC"/>
    <w:rsid w:val="00624176"/>
    <w:rsid w:val="00624C87"/>
    <w:rsid w:val="00625AA7"/>
    <w:rsid w:val="00631AB1"/>
    <w:rsid w:val="006324B7"/>
    <w:rsid w:val="00635016"/>
    <w:rsid w:val="0063543E"/>
    <w:rsid w:val="00635CBB"/>
    <w:rsid w:val="00641A48"/>
    <w:rsid w:val="006446CE"/>
    <w:rsid w:val="00644A18"/>
    <w:rsid w:val="0064627D"/>
    <w:rsid w:val="006476F3"/>
    <w:rsid w:val="006516A2"/>
    <w:rsid w:val="0065541E"/>
    <w:rsid w:val="006557E5"/>
    <w:rsid w:val="006558D4"/>
    <w:rsid w:val="00655D93"/>
    <w:rsid w:val="006565E9"/>
    <w:rsid w:val="00657842"/>
    <w:rsid w:val="0065789E"/>
    <w:rsid w:val="00657CED"/>
    <w:rsid w:val="00660440"/>
    <w:rsid w:val="0066096A"/>
    <w:rsid w:val="00661260"/>
    <w:rsid w:val="006620E8"/>
    <w:rsid w:val="00662F0C"/>
    <w:rsid w:val="00663391"/>
    <w:rsid w:val="00663783"/>
    <w:rsid w:val="00663DD7"/>
    <w:rsid w:val="00664DF6"/>
    <w:rsid w:val="00665AEC"/>
    <w:rsid w:val="00665BD2"/>
    <w:rsid w:val="006701C6"/>
    <w:rsid w:val="00671964"/>
    <w:rsid w:val="00673D74"/>
    <w:rsid w:val="00674922"/>
    <w:rsid w:val="00674C37"/>
    <w:rsid w:val="00675644"/>
    <w:rsid w:val="006756A7"/>
    <w:rsid w:val="00676454"/>
    <w:rsid w:val="00676662"/>
    <w:rsid w:val="00677AAF"/>
    <w:rsid w:val="006817D7"/>
    <w:rsid w:val="006822C4"/>
    <w:rsid w:val="00684165"/>
    <w:rsid w:val="006857BF"/>
    <w:rsid w:val="00685A36"/>
    <w:rsid w:val="00685C39"/>
    <w:rsid w:val="00686589"/>
    <w:rsid w:val="0069137B"/>
    <w:rsid w:val="006923E3"/>
    <w:rsid w:val="00692BA9"/>
    <w:rsid w:val="00693A0D"/>
    <w:rsid w:val="0069434E"/>
    <w:rsid w:val="006946A8"/>
    <w:rsid w:val="00697831"/>
    <w:rsid w:val="006A0287"/>
    <w:rsid w:val="006A2F5D"/>
    <w:rsid w:val="006A5114"/>
    <w:rsid w:val="006A71D3"/>
    <w:rsid w:val="006A7391"/>
    <w:rsid w:val="006A7BA3"/>
    <w:rsid w:val="006B2E64"/>
    <w:rsid w:val="006B330F"/>
    <w:rsid w:val="006B4B1C"/>
    <w:rsid w:val="006B7EBA"/>
    <w:rsid w:val="006C2352"/>
    <w:rsid w:val="006C24EC"/>
    <w:rsid w:val="006C4372"/>
    <w:rsid w:val="006C79B2"/>
    <w:rsid w:val="006D127C"/>
    <w:rsid w:val="006D2099"/>
    <w:rsid w:val="006D4D3A"/>
    <w:rsid w:val="006D772D"/>
    <w:rsid w:val="006E351F"/>
    <w:rsid w:val="006E394B"/>
    <w:rsid w:val="006F0453"/>
    <w:rsid w:val="006F07B0"/>
    <w:rsid w:val="006F0B86"/>
    <w:rsid w:val="006F11A4"/>
    <w:rsid w:val="006F27A1"/>
    <w:rsid w:val="006F2AFE"/>
    <w:rsid w:val="006F4177"/>
    <w:rsid w:val="006F425D"/>
    <w:rsid w:val="006F4483"/>
    <w:rsid w:val="006F51D7"/>
    <w:rsid w:val="0070025A"/>
    <w:rsid w:val="007012B2"/>
    <w:rsid w:val="007014EA"/>
    <w:rsid w:val="007030D0"/>
    <w:rsid w:val="007034AF"/>
    <w:rsid w:val="007064DC"/>
    <w:rsid w:val="00707A51"/>
    <w:rsid w:val="0071214D"/>
    <w:rsid w:val="00713290"/>
    <w:rsid w:val="0071618F"/>
    <w:rsid w:val="007169CE"/>
    <w:rsid w:val="007174E8"/>
    <w:rsid w:val="007178E3"/>
    <w:rsid w:val="00720038"/>
    <w:rsid w:val="007202A9"/>
    <w:rsid w:val="0072039E"/>
    <w:rsid w:val="0072155C"/>
    <w:rsid w:val="00721C3C"/>
    <w:rsid w:val="00723D37"/>
    <w:rsid w:val="00724E8E"/>
    <w:rsid w:val="00724EAE"/>
    <w:rsid w:val="00725645"/>
    <w:rsid w:val="0073086B"/>
    <w:rsid w:val="007313F7"/>
    <w:rsid w:val="007333DF"/>
    <w:rsid w:val="0073390F"/>
    <w:rsid w:val="007404FD"/>
    <w:rsid w:val="00740FC5"/>
    <w:rsid w:val="00742074"/>
    <w:rsid w:val="0074231A"/>
    <w:rsid w:val="007425D8"/>
    <w:rsid w:val="00746609"/>
    <w:rsid w:val="00746EEF"/>
    <w:rsid w:val="007478BD"/>
    <w:rsid w:val="00750945"/>
    <w:rsid w:val="007509DD"/>
    <w:rsid w:val="00750F1F"/>
    <w:rsid w:val="007524F1"/>
    <w:rsid w:val="007533B2"/>
    <w:rsid w:val="00753522"/>
    <w:rsid w:val="00755243"/>
    <w:rsid w:val="00761D72"/>
    <w:rsid w:val="00762DF4"/>
    <w:rsid w:val="00764709"/>
    <w:rsid w:val="00765066"/>
    <w:rsid w:val="007705A3"/>
    <w:rsid w:val="00771977"/>
    <w:rsid w:val="0077506B"/>
    <w:rsid w:val="007752A8"/>
    <w:rsid w:val="00775566"/>
    <w:rsid w:val="00775A83"/>
    <w:rsid w:val="007763F2"/>
    <w:rsid w:val="00781027"/>
    <w:rsid w:val="00785DF0"/>
    <w:rsid w:val="00790750"/>
    <w:rsid w:val="007908EB"/>
    <w:rsid w:val="00796953"/>
    <w:rsid w:val="007A0525"/>
    <w:rsid w:val="007A1BE0"/>
    <w:rsid w:val="007A7670"/>
    <w:rsid w:val="007B21CE"/>
    <w:rsid w:val="007B6AF7"/>
    <w:rsid w:val="007B780B"/>
    <w:rsid w:val="007C04B1"/>
    <w:rsid w:val="007C089F"/>
    <w:rsid w:val="007C24E0"/>
    <w:rsid w:val="007C7A0A"/>
    <w:rsid w:val="007C7CCF"/>
    <w:rsid w:val="007D0464"/>
    <w:rsid w:val="007D0653"/>
    <w:rsid w:val="007D0B80"/>
    <w:rsid w:val="007D0DEA"/>
    <w:rsid w:val="007D266C"/>
    <w:rsid w:val="007D2D71"/>
    <w:rsid w:val="007D392A"/>
    <w:rsid w:val="007D482F"/>
    <w:rsid w:val="007D4BB8"/>
    <w:rsid w:val="007D5D83"/>
    <w:rsid w:val="007D6E16"/>
    <w:rsid w:val="007D7FBD"/>
    <w:rsid w:val="007E1A12"/>
    <w:rsid w:val="007E24C3"/>
    <w:rsid w:val="007E267C"/>
    <w:rsid w:val="007E288C"/>
    <w:rsid w:val="007E2A94"/>
    <w:rsid w:val="007E4A1E"/>
    <w:rsid w:val="007E5130"/>
    <w:rsid w:val="007F1325"/>
    <w:rsid w:val="007F1D62"/>
    <w:rsid w:val="007F2F66"/>
    <w:rsid w:val="007F5A92"/>
    <w:rsid w:val="007F623A"/>
    <w:rsid w:val="007F6ECB"/>
    <w:rsid w:val="008003E7"/>
    <w:rsid w:val="008008D9"/>
    <w:rsid w:val="00802C5D"/>
    <w:rsid w:val="0080381F"/>
    <w:rsid w:val="0080778A"/>
    <w:rsid w:val="00807DF1"/>
    <w:rsid w:val="00810BB3"/>
    <w:rsid w:val="00814941"/>
    <w:rsid w:val="008153CA"/>
    <w:rsid w:val="00816167"/>
    <w:rsid w:val="008173BA"/>
    <w:rsid w:val="00817E56"/>
    <w:rsid w:val="0082093F"/>
    <w:rsid w:val="0082294C"/>
    <w:rsid w:val="0082654C"/>
    <w:rsid w:val="0082704D"/>
    <w:rsid w:val="00827A6A"/>
    <w:rsid w:val="00830760"/>
    <w:rsid w:val="00830F87"/>
    <w:rsid w:val="00831078"/>
    <w:rsid w:val="00831449"/>
    <w:rsid w:val="00831CF2"/>
    <w:rsid w:val="008325CE"/>
    <w:rsid w:val="008336E8"/>
    <w:rsid w:val="00834FCE"/>
    <w:rsid w:val="0083536D"/>
    <w:rsid w:val="008364FC"/>
    <w:rsid w:val="0083761C"/>
    <w:rsid w:val="00841130"/>
    <w:rsid w:val="008414F7"/>
    <w:rsid w:val="00842972"/>
    <w:rsid w:val="00842A13"/>
    <w:rsid w:val="008444CC"/>
    <w:rsid w:val="008447FC"/>
    <w:rsid w:val="0084670C"/>
    <w:rsid w:val="00846B33"/>
    <w:rsid w:val="00847B0E"/>
    <w:rsid w:val="00847EDF"/>
    <w:rsid w:val="00852019"/>
    <w:rsid w:val="0085303F"/>
    <w:rsid w:val="008566F2"/>
    <w:rsid w:val="00856E96"/>
    <w:rsid w:val="00857A46"/>
    <w:rsid w:val="00857D4C"/>
    <w:rsid w:val="008601C5"/>
    <w:rsid w:val="00860BCC"/>
    <w:rsid w:val="00861DAB"/>
    <w:rsid w:val="00861EA1"/>
    <w:rsid w:val="00863764"/>
    <w:rsid w:val="00864F64"/>
    <w:rsid w:val="0086644E"/>
    <w:rsid w:val="008676E1"/>
    <w:rsid w:val="0087065D"/>
    <w:rsid w:val="00872957"/>
    <w:rsid w:val="008739C5"/>
    <w:rsid w:val="00873E40"/>
    <w:rsid w:val="008758DC"/>
    <w:rsid w:val="00875C9F"/>
    <w:rsid w:val="00882FC8"/>
    <w:rsid w:val="008908CA"/>
    <w:rsid w:val="008923C0"/>
    <w:rsid w:val="008938DB"/>
    <w:rsid w:val="008966AE"/>
    <w:rsid w:val="008A164C"/>
    <w:rsid w:val="008A1AF3"/>
    <w:rsid w:val="008A2388"/>
    <w:rsid w:val="008A3A86"/>
    <w:rsid w:val="008A4296"/>
    <w:rsid w:val="008B0B94"/>
    <w:rsid w:val="008B142F"/>
    <w:rsid w:val="008B4CAE"/>
    <w:rsid w:val="008B551C"/>
    <w:rsid w:val="008B7285"/>
    <w:rsid w:val="008C156E"/>
    <w:rsid w:val="008C5A0A"/>
    <w:rsid w:val="008D0255"/>
    <w:rsid w:val="008D1668"/>
    <w:rsid w:val="008D1B75"/>
    <w:rsid w:val="008D272F"/>
    <w:rsid w:val="008D73A4"/>
    <w:rsid w:val="008D7DCA"/>
    <w:rsid w:val="008E0306"/>
    <w:rsid w:val="008E06A3"/>
    <w:rsid w:val="008E075E"/>
    <w:rsid w:val="008E0EE8"/>
    <w:rsid w:val="008E2FAD"/>
    <w:rsid w:val="008E3E85"/>
    <w:rsid w:val="008E6F24"/>
    <w:rsid w:val="008E6F44"/>
    <w:rsid w:val="008E7721"/>
    <w:rsid w:val="008F018C"/>
    <w:rsid w:val="008F2B67"/>
    <w:rsid w:val="008F3518"/>
    <w:rsid w:val="008F4983"/>
    <w:rsid w:val="008F4E2C"/>
    <w:rsid w:val="008F5173"/>
    <w:rsid w:val="008F5744"/>
    <w:rsid w:val="008F5CC8"/>
    <w:rsid w:val="008F5D58"/>
    <w:rsid w:val="009001F2"/>
    <w:rsid w:val="00901EC4"/>
    <w:rsid w:val="0090367E"/>
    <w:rsid w:val="009049A5"/>
    <w:rsid w:val="009102D9"/>
    <w:rsid w:val="009107CE"/>
    <w:rsid w:val="00916B62"/>
    <w:rsid w:val="00916CAC"/>
    <w:rsid w:val="00917258"/>
    <w:rsid w:val="00921D25"/>
    <w:rsid w:val="00924DE9"/>
    <w:rsid w:val="00925038"/>
    <w:rsid w:val="0092544D"/>
    <w:rsid w:val="0092691D"/>
    <w:rsid w:val="0093437F"/>
    <w:rsid w:val="009370D7"/>
    <w:rsid w:val="00942340"/>
    <w:rsid w:val="00942F4D"/>
    <w:rsid w:val="009433C6"/>
    <w:rsid w:val="00944446"/>
    <w:rsid w:val="0095080C"/>
    <w:rsid w:val="00950AF3"/>
    <w:rsid w:val="00950BAA"/>
    <w:rsid w:val="009537A6"/>
    <w:rsid w:val="00953EF5"/>
    <w:rsid w:val="00954529"/>
    <w:rsid w:val="00954676"/>
    <w:rsid w:val="00955CF2"/>
    <w:rsid w:val="00960B55"/>
    <w:rsid w:val="0096349F"/>
    <w:rsid w:val="00965449"/>
    <w:rsid w:val="00967231"/>
    <w:rsid w:val="00971CD6"/>
    <w:rsid w:val="00971D2A"/>
    <w:rsid w:val="009726AF"/>
    <w:rsid w:val="009740AA"/>
    <w:rsid w:val="00976C84"/>
    <w:rsid w:val="009770B2"/>
    <w:rsid w:val="009773A9"/>
    <w:rsid w:val="00980114"/>
    <w:rsid w:val="00981869"/>
    <w:rsid w:val="00983EE6"/>
    <w:rsid w:val="009858D0"/>
    <w:rsid w:val="00985F4B"/>
    <w:rsid w:val="00991833"/>
    <w:rsid w:val="009924AB"/>
    <w:rsid w:val="00992DDB"/>
    <w:rsid w:val="00992F64"/>
    <w:rsid w:val="0099371F"/>
    <w:rsid w:val="009950B5"/>
    <w:rsid w:val="009951DC"/>
    <w:rsid w:val="00996F93"/>
    <w:rsid w:val="009A10DB"/>
    <w:rsid w:val="009A21CB"/>
    <w:rsid w:val="009A3979"/>
    <w:rsid w:val="009A53B9"/>
    <w:rsid w:val="009A73F6"/>
    <w:rsid w:val="009B035B"/>
    <w:rsid w:val="009B267B"/>
    <w:rsid w:val="009B27B2"/>
    <w:rsid w:val="009B4CB3"/>
    <w:rsid w:val="009B6E04"/>
    <w:rsid w:val="009B76BD"/>
    <w:rsid w:val="009C3CE7"/>
    <w:rsid w:val="009D06A1"/>
    <w:rsid w:val="009D4342"/>
    <w:rsid w:val="009D4549"/>
    <w:rsid w:val="009D4B13"/>
    <w:rsid w:val="009D5B41"/>
    <w:rsid w:val="009D73B2"/>
    <w:rsid w:val="009E1419"/>
    <w:rsid w:val="009E30EA"/>
    <w:rsid w:val="009E3518"/>
    <w:rsid w:val="009E4726"/>
    <w:rsid w:val="009E5E86"/>
    <w:rsid w:val="009E6653"/>
    <w:rsid w:val="009F075C"/>
    <w:rsid w:val="009F22B0"/>
    <w:rsid w:val="009F26FD"/>
    <w:rsid w:val="009F34BC"/>
    <w:rsid w:val="009F6C8A"/>
    <w:rsid w:val="009F74EA"/>
    <w:rsid w:val="009F7D36"/>
    <w:rsid w:val="009F7D68"/>
    <w:rsid w:val="00A00829"/>
    <w:rsid w:val="00A00F3F"/>
    <w:rsid w:val="00A01E97"/>
    <w:rsid w:val="00A02A7B"/>
    <w:rsid w:val="00A03254"/>
    <w:rsid w:val="00A03F47"/>
    <w:rsid w:val="00A04B06"/>
    <w:rsid w:val="00A0587A"/>
    <w:rsid w:val="00A06910"/>
    <w:rsid w:val="00A14591"/>
    <w:rsid w:val="00A163D6"/>
    <w:rsid w:val="00A201ED"/>
    <w:rsid w:val="00A244E7"/>
    <w:rsid w:val="00A24D7A"/>
    <w:rsid w:val="00A30690"/>
    <w:rsid w:val="00A30796"/>
    <w:rsid w:val="00A3083A"/>
    <w:rsid w:val="00A30847"/>
    <w:rsid w:val="00A33E03"/>
    <w:rsid w:val="00A3524B"/>
    <w:rsid w:val="00A359D8"/>
    <w:rsid w:val="00A360AC"/>
    <w:rsid w:val="00A36C42"/>
    <w:rsid w:val="00A42056"/>
    <w:rsid w:val="00A458B4"/>
    <w:rsid w:val="00A45DE5"/>
    <w:rsid w:val="00A461D5"/>
    <w:rsid w:val="00A5015D"/>
    <w:rsid w:val="00A5103A"/>
    <w:rsid w:val="00A5509A"/>
    <w:rsid w:val="00A56A79"/>
    <w:rsid w:val="00A6273B"/>
    <w:rsid w:val="00A64F73"/>
    <w:rsid w:val="00A656D9"/>
    <w:rsid w:val="00A662A8"/>
    <w:rsid w:val="00A73C08"/>
    <w:rsid w:val="00A75F3A"/>
    <w:rsid w:val="00A765AB"/>
    <w:rsid w:val="00A76BA1"/>
    <w:rsid w:val="00A77C6A"/>
    <w:rsid w:val="00A77F52"/>
    <w:rsid w:val="00A81343"/>
    <w:rsid w:val="00A81502"/>
    <w:rsid w:val="00A82AAF"/>
    <w:rsid w:val="00A83435"/>
    <w:rsid w:val="00A84471"/>
    <w:rsid w:val="00A845EA"/>
    <w:rsid w:val="00A8487F"/>
    <w:rsid w:val="00A87085"/>
    <w:rsid w:val="00A87EC9"/>
    <w:rsid w:val="00A91158"/>
    <w:rsid w:val="00A91979"/>
    <w:rsid w:val="00A91D22"/>
    <w:rsid w:val="00A92D3F"/>
    <w:rsid w:val="00A93120"/>
    <w:rsid w:val="00A9333E"/>
    <w:rsid w:val="00A936AD"/>
    <w:rsid w:val="00AA0BFA"/>
    <w:rsid w:val="00AA3A68"/>
    <w:rsid w:val="00AA44B8"/>
    <w:rsid w:val="00AA5462"/>
    <w:rsid w:val="00AA56C7"/>
    <w:rsid w:val="00AA6A23"/>
    <w:rsid w:val="00AB0EE0"/>
    <w:rsid w:val="00AB4DD2"/>
    <w:rsid w:val="00AC020B"/>
    <w:rsid w:val="00AC0DA7"/>
    <w:rsid w:val="00AC2EA2"/>
    <w:rsid w:val="00AC372F"/>
    <w:rsid w:val="00AC3D44"/>
    <w:rsid w:val="00AC4A12"/>
    <w:rsid w:val="00AC5B91"/>
    <w:rsid w:val="00AC5EE5"/>
    <w:rsid w:val="00AD00AE"/>
    <w:rsid w:val="00AD0BF3"/>
    <w:rsid w:val="00AD13A6"/>
    <w:rsid w:val="00AD2669"/>
    <w:rsid w:val="00AD2ABC"/>
    <w:rsid w:val="00AD399E"/>
    <w:rsid w:val="00AD589D"/>
    <w:rsid w:val="00AD6CB2"/>
    <w:rsid w:val="00AE188A"/>
    <w:rsid w:val="00AE24FE"/>
    <w:rsid w:val="00AF15AF"/>
    <w:rsid w:val="00AF308C"/>
    <w:rsid w:val="00AF3555"/>
    <w:rsid w:val="00AF3E1C"/>
    <w:rsid w:val="00AF4A0A"/>
    <w:rsid w:val="00AF5375"/>
    <w:rsid w:val="00B01DF5"/>
    <w:rsid w:val="00B03099"/>
    <w:rsid w:val="00B04BD8"/>
    <w:rsid w:val="00B10769"/>
    <w:rsid w:val="00B11713"/>
    <w:rsid w:val="00B126CE"/>
    <w:rsid w:val="00B1300E"/>
    <w:rsid w:val="00B14145"/>
    <w:rsid w:val="00B1549E"/>
    <w:rsid w:val="00B2364E"/>
    <w:rsid w:val="00B257D9"/>
    <w:rsid w:val="00B27428"/>
    <w:rsid w:val="00B35E4D"/>
    <w:rsid w:val="00B366D5"/>
    <w:rsid w:val="00B369B3"/>
    <w:rsid w:val="00B37A3B"/>
    <w:rsid w:val="00B4182F"/>
    <w:rsid w:val="00B4210B"/>
    <w:rsid w:val="00B42DD6"/>
    <w:rsid w:val="00B43187"/>
    <w:rsid w:val="00B43C82"/>
    <w:rsid w:val="00B43FA5"/>
    <w:rsid w:val="00B468FD"/>
    <w:rsid w:val="00B51014"/>
    <w:rsid w:val="00B51346"/>
    <w:rsid w:val="00B5657F"/>
    <w:rsid w:val="00B6369E"/>
    <w:rsid w:val="00B63B25"/>
    <w:rsid w:val="00B6583E"/>
    <w:rsid w:val="00B65BC3"/>
    <w:rsid w:val="00B65E26"/>
    <w:rsid w:val="00B6660B"/>
    <w:rsid w:val="00B6676A"/>
    <w:rsid w:val="00B674E5"/>
    <w:rsid w:val="00B67DC0"/>
    <w:rsid w:val="00B705C5"/>
    <w:rsid w:val="00B709CD"/>
    <w:rsid w:val="00B71162"/>
    <w:rsid w:val="00B71ECF"/>
    <w:rsid w:val="00B7416F"/>
    <w:rsid w:val="00B75190"/>
    <w:rsid w:val="00B8012D"/>
    <w:rsid w:val="00B80949"/>
    <w:rsid w:val="00B81CB2"/>
    <w:rsid w:val="00B83F34"/>
    <w:rsid w:val="00B86822"/>
    <w:rsid w:val="00B873B3"/>
    <w:rsid w:val="00B9139F"/>
    <w:rsid w:val="00B94021"/>
    <w:rsid w:val="00B952AD"/>
    <w:rsid w:val="00B956D4"/>
    <w:rsid w:val="00B97BB8"/>
    <w:rsid w:val="00BA07B6"/>
    <w:rsid w:val="00BA0BFA"/>
    <w:rsid w:val="00BA20B6"/>
    <w:rsid w:val="00BA3924"/>
    <w:rsid w:val="00BA6487"/>
    <w:rsid w:val="00BB0BEC"/>
    <w:rsid w:val="00BB105A"/>
    <w:rsid w:val="00BB3AEF"/>
    <w:rsid w:val="00BB3B0E"/>
    <w:rsid w:val="00BB4996"/>
    <w:rsid w:val="00BB57F8"/>
    <w:rsid w:val="00BB7609"/>
    <w:rsid w:val="00BC0D93"/>
    <w:rsid w:val="00BC15EC"/>
    <w:rsid w:val="00BC212B"/>
    <w:rsid w:val="00BC29C1"/>
    <w:rsid w:val="00BC55B7"/>
    <w:rsid w:val="00BC668D"/>
    <w:rsid w:val="00BD0489"/>
    <w:rsid w:val="00BD29DB"/>
    <w:rsid w:val="00BD3520"/>
    <w:rsid w:val="00BD4F66"/>
    <w:rsid w:val="00BD5378"/>
    <w:rsid w:val="00BD73AE"/>
    <w:rsid w:val="00BE0AE5"/>
    <w:rsid w:val="00BE0D5E"/>
    <w:rsid w:val="00BE1AC0"/>
    <w:rsid w:val="00BE1F3B"/>
    <w:rsid w:val="00BE2937"/>
    <w:rsid w:val="00BE46C7"/>
    <w:rsid w:val="00BE707F"/>
    <w:rsid w:val="00BE7170"/>
    <w:rsid w:val="00BE79A7"/>
    <w:rsid w:val="00BE7F2D"/>
    <w:rsid w:val="00BF1954"/>
    <w:rsid w:val="00C006B0"/>
    <w:rsid w:val="00C01695"/>
    <w:rsid w:val="00C066C7"/>
    <w:rsid w:val="00C10D22"/>
    <w:rsid w:val="00C1140C"/>
    <w:rsid w:val="00C123E3"/>
    <w:rsid w:val="00C13308"/>
    <w:rsid w:val="00C13D22"/>
    <w:rsid w:val="00C13ECD"/>
    <w:rsid w:val="00C1637B"/>
    <w:rsid w:val="00C208E8"/>
    <w:rsid w:val="00C216A9"/>
    <w:rsid w:val="00C21AE3"/>
    <w:rsid w:val="00C21F57"/>
    <w:rsid w:val="00C23F61"/>
    <w:rsid w:val="00C24768"/>
    <w:rsid w:val="00C25B3B"/>
    <w:rsid w:val="00C262EE"/>
    <w:rsid w:val="00C273A7"/>
    <w:rsid w:val="00C30EB0"/>
    <w:rsid w:val="00C32871"/>
    <w:rsid w:val="00C3589A"/>
    <w:rsid w:val="00C37413"/>
    <w:rsid w:val="00C416B7"/>
    <w:rsid w:val="00C4264A"/>
    <w:rsid w:val="00C44014"/>
    <w:rsid w:val="00C45183"/>
    <w:rsid w:val="00C45271"/>
    <w:rsid w:val="00C4651B"/>
    <w:rsid w:val="00C501AC"/>
    <w:rsid w:val="00C51050"/>
    <w:rsid w:val="00C53746"/>
    <w:rsid w:val="00C54E93"/>
    <w:rsid w:val="00C55000"/>
    <w:rsid w:val="00C55F93"/>
    <w:rsid w:val="00C568FF"/>
    <w:rsid w:val="00C57E0A"/>
    <w:rsid w:val="00C60641"/>
    <w:rsid w:val="00C65AF5"/>
    <w:rsid w:val="00C66DB3"/>
    <w:rsid w:val="00C70210"/>
    <w:rsid w:val="00C70B4E"/>
    <w:rsid w:val="00C72826"/>
    <w:rsid w:val="00C75767"/>
    <w:rsid w:val="00C75FCF"/>
    <w:rsid w:val="00C766FC"/>
    <w:rsid w:val="00C80CDB"/>
    <w:rsid w:val="00C81468"/>
    <w:rsid w:val="00C820E2"/>
    <w:rsid w:val="00C82DF0"/>
    <w:rsid w:val="00C849AB"/>
    <w:rsid w:val="00C8512D"/>
    <w:rsid w:val="00C87DDA"/>
    <w:rsid w:val="00C9079C"/>
    <w:rsid w:val="00C90DFB"/>
    <w:rsid w:val="00C91932"/>
    <w:rsid w:val="00C9261A"/>
    <w:rsid w:val="00C93758"/>
    <w:rsid w:val="00C948A2"/>
    <w:rsid w:val="00C979C5"/>
    <w:rsid w:val="00CA1530"/>
    <w:rsid w:val="00CA2B3D"/>
    <w:rsid w:val="00CA33D3"/>
    <w:rsid w:val="00CA3861"/>
    <w:rsid w:val="00CA3BA3"/>
    <w:rsid w:val="00CA7567"/>
    <w:rsid w:val="00CB44E3"/>
    <w:rsid w:val="00CB4D64"/>
    <w:rsid w:val="00CC12AC"/>
    <w:rsid w:val="00CC2FB4"/>
    <w:rsid w:val="00CC3F2C"/>
    <w:rsid w:val="00CC41C2"/>
    <w:rsid w:val="00CD02AA"/>
    <w:rsid w:val="00CD0CEA"/>
    <w:rsid w:val="00CD1FEF"/>
    <w:rsid w:val="00CD2C79"/>
    <w:rsid w:val="00CD6ADB"/>
    <w:rsid w:val="00CE0BC3"/>
    <w:rsid w:val="00CE62C0"/>
    <w:rsid w:val="00CF02B9"/>
    <w:rsid w:val="00CF177D"/>
    <w:rsid w:val="00CF30A2"/>
    <w:rsid w:val="00CF36CC"/>
    <w:rsid w:val="00CF4FA3"/>
    <w:rsid w:val="00CF68CD"/>
    <w:rsid w:val="00D0001C"/>
    <w:rsid w:val="00D018F9"/>
    <w:rsid w:val="00D0259D"/>
    <w:rsid w:val="00D04213"/>
    <w:rsid w:val="00D049D0"/>
    <w:rsid w:val="00D04BDE"/>
    <w:rsid w:val="00D0628A"/>
    <w:rsid w:val="00D07375"/>
    <w:rsid w:val="00D07488"/>
    <w:rsid w:val="00D1021F"/>
    <w:rsid w:val="00D11027"/>
    <w:rsid w:val="00D15F97"/>
    <w:rsid w:val="00D167E6"/>
    <w:rsid w:val="00D16BB6"/>
    <w:rsid w:val="00D16F2E"/>
    <w:rsid w:val="00D20309"/>
    <w:rsid w:val="00D20329"/>
    <w:rsid w:val="00D21AF2"/>
    <w:rsid w:val="00D26149"/>
    <w:rsid w:val="00D33C72"/>
    <w:rsid w:val="00D351C2"/>
    <w:rsid w:val="00D352C5"/>
    <w:rsid w:val="00D378E7"/>
    <w:rsid w:val="00D37B0E"/>
    <w:rsid w:val="00D4419D"/>
    <w:rsid w:val="00D46231"/>
    <w:rsid w:val="00D46D45"/>
    <w:rsid w:val="00D47400"/>
    <w:rsid w:val="00D47E24"/>
    <w:rsid w:val="00D47F2B"/>
    <w:rsid w:val="00D51A21"/>
    <w:rsid w:val="00D54649"/>
    <w:rsid w:val="00D5599D"/>
    <w:rsid w:val="00D55A65"/>
    <w:rsid w:val="00D575B4"/>
    <w:rsid w:val="00D60573"/>
    <w:rsid w:val="00D631A9"/>
    <w:rsid w:val="00D7130C"/>
    <w:rsid w:val="00D74195"/>
    <w:rsid w:val="00D765D7"/>
    <w:rsid w:val="00D76F13"/>
    <w:rsid w:val="00D809DE"/>
    <w:rsid w:val="00D825AC"/>
    <w:rsid w:val="00D830EA"/>
    <w:rsid w:val="00D86383"/>
    <w:rsid w:val="00D863B7"/>
    <w:rsid w:val="00D90C95"/>
    <w:rsid w:val="00D910C0"/>
    <w:rsid w:val="00D92847"/>
    <w:rsid w:val="00D92918"/>
    <w:rsid w:val="00D92EC1"/>
    <w:rsid w:val="00D955FD"/>
    <w:rsid w:val="00D965AF"/>
    <w:rsid w:val="00D966FC"/>
    <w:rsid w:val="00D96C7F"/>
    <w:rsid w:val="00DA06BA"/>
    <w:rsid w:val="00DA1750"/>
    <w:rsid w:val="00DA2E6D"/>
    <w:rsid w:val="00DA39E0"/>
    <w:rsid w:val="00DA7426"/>
    <w:rsid w:val="00DB483A"/>
    <w:rsid w:val="00DB4B2E"/>
    <w:rsid w:val="00DB5AA1"/>
    <w:rsid w:val="00DB5EE5"/>
    <w:rsid w:val="00DB686A"/>
    <w:rsid w:val="00DB6B0F"/>
    <w:rsid w:val="00DB7A6C"/>
    <w:rsid w:val="00DC1339"/>
    <w:rsid w:val="00DC433C"/>
    <w:rsid w:val="00DC548E"/>
    <w:rsid w:val="00DC72B1"/>
    <w:rsid w:val="00DD09D1"/>
    <w:rsid w:val="00DD0ECB"/>
    <w:rsid w:val="00DD10E4"/>
    <w:rsid w:val="00DD1A02"/>
    <w:rsid w:val="00DD2C28"/>
    <w:rsid w:val="00DD4C80"/>
    <w:rsid w:val="00DD6A98"/>
    <w:rsid w:val="00DE12D3"/>
    <w:rsid w:val="00DE234E"/>
    <w:rsid w:val="00DE71F0"/>
    <w:rsid w:val="00DF079F"/>
    <w:rsid w:val="00DF235A"/>
    <w:rsid w:val="00E00725"/>
    <w:rsid w:val="00E01602"/>
    <w:rsid w:val="00E01EB5"/>
    <w:rsid w:val="00E12A0B"/>
    <w:rsid w:val="00E1327F"/>
    <w:rsid w:val="00E14BD3"/>
    <w:rsid w:val="00E151C5"/>
    <w:rsid w:val="00E153B0"/>
    <w:rsid w:val="00E223BB"/>
    <w:rsid w:val="00E228ED"/>
    <w:rsid w:val="00E23750"/>
    <w:rsid w:val="00E25886"/>
    <w:rsid w:val="00E26C51"/>
    <w:rsid w:val="00E32427"/>
    <w:rsid w:val="00E32F98"/>
    <w:rsid w:val="00E3322B"/>
    <w:rsid w:val="00E357D7"/>
    <w:rsid w:val="00E35A0C"/>
    <w:rsid w:val="00E413FB"/>
    <w:rsid w:val="00E41B43"/>
    <w:rsid w:val="00E41D0C"/>
    <w:rsid w:val="00E41D20"/>
    <w:rsid w:val="00E447FF"/>
    <w:rsid w:val="00E45ACA"/>
    <w:rsid w:val="00E47257"/>
    <w:rsid w:val="00E47468"/>
    <w:rsid w:val="00E51E47"/>
    <w:rsid w:val="00E53387"/>
    <w:rsid w:val="00E60E83"/>
    <w:rsid w:val="00E623A6"/>
    <w:rsid w:val="00E62F05"/>
    <w:rsid w:val="00E705AA"/>
    <w:rsid w:val="00E70EDE"/>
    <w:rsid w:val="00E753E5"/>
    <w:rsid w:val="00E75F2E"/>
    <w:rsid w:val="00E81425"/>
    <w:rsid w:val="00E81645"/>
    <w:rsid w:val="00E816E0"/>
    <w:rsid w:val="00E81884"/>
    <w:rsid w:val="00E82B58"/>
    <w:rsid w:val="00E8440D"/>
    <w:rsid w:val="00E86AE7"/>
    <w:rsid w:val="00E875CD"/>
    <w:rsid w:val="00E87AA1"/>
    <w:rsid w:val="00E92495"/>
    <w:rsid w:val="00EA2C72"/>
    <w:rsid w:val="00EA3E0C"/>
    <w:rsid w:val="00EB379C"/>
    <w:rsid w:val="00EB3BFF"/>
    <w:rsid w:val="00EB3C31"/>
    <w:rsid w:val="00EB6065"/>
    <w:rsid w:val="00EB6996"/>
    <w:rsid w:val="00EC404C"/>
    <w:rsid w:val="00EC444E"/>
    <w:rsid w:val="00EC4889"/>
    <w:rsid w:val="00ED0A83"/>
    <w:rsid w:val="00ED0C25"/>
    <w:rsid w:val="00ED3596"/>
    <w:rsid w:val="00ED3875"/>
    <w:rsid w:val="00ED3A89"/>
    <w:rsid w:val="00ED47F7"/>
    <w:rsid w:val="00ED6F78"/>
    <w:rsid w:val="00EE01B8"/>
    <w:rsid w:val="00EE06D4"/>
    <w:rsid w:val="00EE2909"/>
    <w:rsid w:val="00EE4E96"/>
    <w:rsid w:val="00EF062D"/>
    <w:rsid w:val="00EF7DD3"/>
    <w:rsid w:val="00F02285"/>
    <w:rsid w:val="00F022E6"/>
    <w:rsid w:val="00F02A0F"/>
    <w:rsid w:val="00F04720"/>
    <w:rsid w:val="00F05BAB"/>
    <w:rsid w:val="00F061EB"/>
    <w:rsid w:val="00F10599"/>
    <w:rsid w:val="00F10FA0"/>
    <w:rsid w:val="00F116B3"/>
    <w:rsid w:val="00F11FB7"/>
    <w:rsid w:val="00F11FD9"/>
    <w:rsid w:val="00F12587"/>
    <w:rsid w:val="00F1340E"/>
    <w:rsid w:val="00F147B1"/>
    <w:rsid w:val="00F16D67"/>
    <w:rsid w:val="00F206A7"/>
    <w:rsid w:val="00F212EC"/>
    <w:rsid w:val="00F22068"/>
    <w:rsid w:val="00F23CB6"/>
    <w:rsid w:val="00F2474B"/>
    <w:rsid w:val="00F26EF2"/>
    <w:rsid w:val="00F32B07"/>
    <w:rsid w:val="00F354E1"/>
    <w:rsid w:val="00F4200A"/>
    <w:rsid w:val="00F42386"/>
    <w:rsid w:val="00F432CA"/>
    <w:rsid w:val="00F44322"/>
    <w:rsid w:val="00F4454D"/>
    <w:rsid w:val="00F44AC9"/>
    <w:rsid w:val="00F4792B"/>
    <w:rsid w:val="00F47BC7"/>
    <w:rsid w:val="00F47FC7"/>
    <w:rsid w:val="00F520E6"/>
    <w:rsid w:val="00F53728"/>
    <w:rsid w:val="00F54342"/>
    <w:rsid w:val="00F54AAC"/>
    <w:rsid w:val="00F55EF4"/>
    <w:rsid w:val="00F604CF"/>
    <w:rsid w:val="00F6096B"/>
    <w:rsid w:val="00F61236"/>
    <w:rsid w:val="00F6192B"/>
    <w:rsid w:val="00F63041"/>
    <w:rsid w:val="00F635F3"/>
    <w:rsid w:val="00F66830"/>
    <w:rsid w:val="00F66981"/>
    <w:rsid w:val="00F70DCF"/>
    <w:rsid w:val="00F71B5B"/>
    <w:rsid w:val="00F723E8"/>
    <w:rsid w:val="00F72BA2"/>
    <w:rsid w:val="00F72C93"/>
    <w:rsid w:val="00F730D3"/>
    <w:rsid w:val="00F732BF"/>
    <w:rsid w:val="00F734F3"/>
    <w:rsid w:val="00F73657"/>
    <w:rsid w:val="00F809CC"/>
    <w:rsid w:val="00F8193D"/>
    <w:rsid w:val="00F82CCA"/>
    <w:rsid w:val="00F861A4"/>
    <w:rsid w:val="00F86A76"/>
    <w:rsid w:val="00F87747"/>
    <w:rsid w:val="00F912A3"/>
    <w:rsid w:val="00F92592"/>
    <w:rsid w:val="00F93EBD"/>
    <w:rsid w:val="00F96F10"/>
    <w:rsid w:val="00FA4C2C"/>
    <w:rsid w:val="00FA5980"/>
    <w:rsid w:val="00FA697A"/>
    <w:rsid w:val="00FA7FD0"/>
    <w:rsid w:val="00FB2821"/>
    <w:rsid w:val="00FB2ECA"/>
    <w:rsid w:val="00FB3C1F"/>
    <w:rsid w:val="00FB3D62"/>
    <w:rsid w:val="00FB541B"/>
    <w:rsid w:val="00FB634A"/>
    <w:rsid w:val="00FB7998"/>
    <w:rsid w:val="00FC123B"/>
    <w:rsid w:val="00FC1D27"/>
    <w:rsid w:val="00FC2A2E"/>
    <w:rsid w:val="00FC343F"/>
    <w:rsid w:val="00FC497F"/>
    <w:rsid w:val="00FC50E3"/>
    <w:rsid w:val="00FC5343"/>
    <w:rsid w:val="00FC576C"/>
    <w:rsid w:val="00FC5C15"/>
    <w:rsid w:val="00FC7EDD"/>
    <w:rsid w:val="00FD09C1"/>
    <w:rsid w:val="00FD0C3D"/>
    <w:rsid w:val="00FD113E"/>
    <w:rsid w:val="00FD17A0"/>
    <w:rsid w:val="00FD31CD"/>
    <w:rsid w:val="00FD332B"/>
    <w:rsid w:val="00FD3565"/>
    <w:rsid w:val="00FD49D3"/>
    <w:rsid w:val="00FE0810"/>
    <w:rsid w:val="00FE0D20"/>
    <w:rsid w:val="00FE3693"/>
    <w:rsid w:val="00FE6634"/>
    <w:rsid w:val="00FF36E8"/>
    <w:rsid w:val="00FF3839"/>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4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42"/>
    <w:pPr>
      <w:spacing w:after="0" w:line="360" w:lineRule="auto"/>
      <w:ind w:firstLine="720"/>
    </w:pPr>
    <w:rPr>
      <w:rFonts w:ascii="Arial" w:eastAsia="Times New Roman" w:hAnsi="Arial" w:cs="Arial"/>
      <w:bCs/>
      <w:kern w:val="32"/>
      <w:sz w:val="24"/>
      <w:szCs w:val="24"/>
    </w:rPr>
  </w:style>
  <w:style w:type="paragraph" w:styleId="Heading1">
    <w:name w:val="heading 1"/>
    <w:basedOn w:val="Normal"/>
    <w:next w:val="Normal"/>
    <w:link w:val="Heading1Char"/>
    <w:uiPriority w:val="9"/>
    <w:qFormat/>
    <w:rsid w:val="004C2983"/>
    <w:pPr>
      <w:keepNext/>
      <w:keepLines/>
      <w:numPr>
        <w:numId w:val="3"/>
      </w:numPr>
      <w:spacing w:before="360" w:after="240" w:line="240" w:lineRule="auto"/>
      <w:ind w:left="720" w:hanging="720"/>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4F06C1"/>
    <w:pPr>
      <w:keepNext/>
      <w:keepLines/>
      <w:numPr>
        <w:numId w:val="4"/>
      </w:numPr>
      <w:spacing w:before="360" w:after="240" w:line="240" w:lineRule="auto"/>
      <w:ind w:hanging="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842"/>
    <w:pPr>
      <w:tabs>
        <w:tab w:val="center" w:pos="4680"/>
        <w:tab w:val="right" w:pos="9360"/>
      </w:tabs>
      <w:spacing w:line="240" w:lineRule="auto"/>
    </w:pPr>
  </w:style>
  <w:style w:type="character" w:customStyle="1" w:styleId="HeaderChar">
    <w:name w:val="Header Char"/>
    <w:basedOn w:val="DefaultParagraphFont"/>
    <w:link w:val="Header"/>
    <w:uiPriority w:val="99"/>
    <w:rsid w:val="00657842"/>
  </w:style>
  <w:style w:type="paragraph" w:styleId="Footer">
    <w:name w:val="footer"/>
    <w:basedOn w:val="Normal"/>
    <w:link w:val="FooterChar"/>
    <w:uiPriority w:val="99"/>
    <w:unhideWhenUsed/>
    <w:rsid w:val="00657842"/>
    <w:pPr>
      <w:tabs>
        <w:tab w:val="center" w:pos="4680"/>
        <w:tab w:val="right" w:pos="9360"/>
      </w:tabs>
      <w:spacing w:line="240" w:lineRule="auto"/>
    </w:pPr>
  </w:style>
  <w:style w:type="character" w:customStyle="1" w:styleId="FooterChar">
    <w:name w:val="Footer Char"/>
    <w:basedOn w:val="DefaultParagraphFont"/>
    <w:link w:val="Footer"/>
    <w:uiPriority w:val="99"/>
    <w:rsid w:val="00657842"/>
  </w:style>
  <w:style w:type="paragraph" w:styleId="BalloonText">
    <w:name w:val="Balloon Text"/>
    <w:basedOn w:val="Normal"/>
    <w:link w:val="BalloonTextChar"/>
    <w:uiPriority w:val="99"/>
    <w:semiHidden/>
    <w:unhideWhenUsed/>
    <w:rsid w:val="006578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42"/>
    <w:rPr>
      <w:rFonts w:ascii="Tahoma" w:hAnsi="Tahoma" w:cs="Tahoma"/>
      <w:sz w:val="16"/>
      <w:szCs w:val="16"/>
    </w:rPr>
  </w:style>
  <w:style w:type="paragraph" w:customStyle="1" w:styleId="NormalLeft">
    <w:name w:val="Normal Left"/>
    <w:basedOn w:val="Normal"/>
    <w:qFormat/>
    <w:rsid w:val="00657842"/>
    <w:pPr>
      <w:ind w:firstLine="0"/>
    </w:pPr>
    <w:rPr>
      <w:rFonts w:cs="Times New Roman"/>
      <w:bCs w:val="0"/>
      <w:iCs/>
      <w:kern w:val="0"/>
    </w:rPr>
  </w:style>
  <w:style w:type="paragraph" w:customStyle="1" w:styleId="OrderPara">
    <w:name w:val="OrderPara"/>
    <w:basedOn w:val="Header"/>
    <w:rsid w:val="00657842"/>
    <w:pPr>
      <w:numPr>
        <w:numId w:val="1"/>
      </w:numPr>
      <w:tabs>
        <w:tab w:val="clear" w:pos="720"/>
        <w:tab w:val="clear" w:pos="4680"/>
        <w:tab w:val="clear" w:pos="9360"/>
      </w:tabs>
      <w:spacing w:after="360" w:line="360" w:lineRule="auto"/>
    </w:pPr>
    <w:rPr>
      <w:rFonts w:cs="Times New Roman"/>
    </w:rPr>
  </w:style>
  <w:style w:type="paragraph" w:styleId="FootnoteText">
    <w:name w:val="footnote text"/>
    <w:aliases w:val="Footnote Text Char Char,Char,Char Char Char"/>
    <w:basedOn w:val="Normal"/>
    <w:link w:val="FootnoteTextChar"/>
    <w:unhideWhenUsed/>
    <w:rsid w:val="001D2F31"/>
    <w:pPr>
      <w:spacing w:line="240" w:lineRule="auto"/>
    </w:pPr>
    <w:rPr>
      <w:sz w:val="20"/>
      <w:szCs w:val="20"/>
    </w:rPr>
  </w:style>
  <w:style w:type="character" w:customStyle="1" w:styleId="FootnoteTextChar">
    <w:name w:val="Footnote Text Char"/>
    <w:aliases w:val="Footnote Text Char Char Char,Char Char,Char Char Char Char"/>
    <w:basedOn w:val="DefaultParagraphFont"/>
    <w:link w:val="FootnoteText"/>
    <w:rsid w:val="001D2F31"/>
    <w:rPr>
      <w:rFonts w:ascii="Arial" w:eastAsia="Times New Roman" w:hAnsi="Arial" w:cs="Arial"/>
      <w:bCs/>
      <w:kern w:val="32"/>
      <w:sz w:val="20"/>
      <w:szCs w:val="20"/>
    </w:rPr>
  </w:style>
  <w:style w:type="character" w:styleId="FootnoteReference">
    <w:name w:val="footnote reference"/>
    <w:basedOn w:val="DefaultParagraphFont"/>
    <w:uiPriority w:val="99"/>
    <w:unhideWhenUsed/>
    <w:rsid w:val="001D2F31"/>
    <w:rPr>
      <w:vertAlign w:val="superscript"/>
    </w:rPr>
  </w:style>
  <w:style w:type="character" w:styleId="CommentReference">
    <w:name w:val="annotation reference"/>
    <w:basedOn w:val="DefaultParagraphFont"/>
    <w:uiPriority w:val="99"/>
    <w:semiHidden/>
    <w:unhideWhenUsed/>
    <w:rsid w:val="00F11FD9"/>
    <w:rPr>
      <w:sz w:val="16"/>
      <w:szCs w:val="16"/>
    </w:rPr>
  </w:style>
  <w:style w:type="paragraph" w:styleId="CommentText">
    <w:name w:val="annotation text"/>
    <w:basedOn w:val="Normal"/>
    <w:link w:val="CommentTextChar"/>
    <w:uiPriority w:val="99"/>
    <w:unhideWhenUsed/>
    <w:rsid w:val="00F11FD9"/>
    <w:pPr>
      <w:spacing w:line="240" w:lineRule="auto"/>
    </w:pPr>
    <w:rPr>
      <w:sz w:val="20"/>
      <w:szCs w:val="20"/>
    </w:rPr>
  </w:style>
  <w:style w:type="character" w:customStyle="1" w:styleId="CommentTextChar">
    <w:name w:val="Comment Text Char"/>
    <w:basedOn w:val="DefaultParagraphFont"/>
    <w:link w:val="CommentText"/>
    <w:uiPriority w:val="99"/>
    <w:rsid w:val="00F11FD9"/>
    <w:rPr>
      <w:rFonts w:ascii="Arial" w:eastAsia="Times New Roman" w:hAnsi="Arial" w:cs="Arial"/>
      <w:bCs/>
      <w:kern w:val="32"/>
      <w:sz w:val="20"/>
      <w:szCs w:val="20"/>
    </w:rPr>
  </w:style>
  <w:style w:type="paragraph" w:styleId="CommentSubject">
    <w:name w:val="annotation subject"/>
    <w:basedOn w:val="CommentText"/>
    <w:next w:val="CommentText"/>
    <w:link w:val="CommentSubjectChar"/>
    <w:uiPriority w:val="99"/>
    <w:semiHidden/>
    <w:unhideWhenUsed/>
    <w:rsid w:val="00F11FD9"/>
    <w:rPr>
      <w:b/>
    </w:rPr>
  </w:style>
  <w:style w:type="character" w:customStyle="1" w:styleId="CommentSubjectChar">
    <w:name w:val="Comment Subject Char"/>
    <w:basedOn w:val="CommentTextChar"/>
    <w:link w:val="CommentSubject"/>
    <w:uiPriority w:val="99"/>
    <w:semiHidden/>
    <w:rsid w:val="00F11FD9"/>
    <w:rPr>
      <w:rFonts w:ascii="Arial" w:eastAsia="Times New Roman" w:hAnsi="Arial" w:cs="Arial"/>
      <w:b/>
      <w:bCs/>
      <w:kern w:val="32"/>
      <w:sz w:val="20"/>
      <w:szCs w:val="20"/>
    </w:rPr>
  </w:style>
  <w:style w:type="paragraph" w:styleId="Revision">
    <w:name w:val="Revision"/>
    <w:hidden/>
    <w:uiPriority w:val="99"/>
    <w:semiHidden/>
    <w:rsid w:val="009B4CB3"/>
    <w:pPr>
      <w:spacing w:after="0" w:line="240" w:lineRule="auto"/>
    </w:pPr>
    <w:rPr>
      <w:rFonts w:ascii="Arial" w:eastAsia="Times New Roman" w:hAnsi="Arial" w:cs="Arial"/>
      <w:bCs/>
      <w:kern w:val="32"/>
      <w:sz w:val="24"/>
      <w:szCs w:val="24"/>
    </w:rPr>
  </w:style>
  <w:style w:type="character" w:customStyle="1" w:styleId="Heading1Char">
    <w:name w:val="Heading 1 Char"/>
    <w:basedOn w:val="DefaultParagraphFont"/>
    <w:link w:val="Heading1"/>
    <w:uiPriority w:val="9"/>
    <w:rsid w:val="004C2983"/>
    <w:rPr>
      <w:rFonts w:ascii="Arial" w:eastAsiaTheme="majorEastAsia" w:hAnsi="Arial" w:cstheme="majorBidi"/>
      <w:bCs/>
      <w:caps/>
      <w:kern w:val="32"/>
      <w:sz w:val="24"/>
      <w:szCs w:val="32"/>
    </w:rPr>
  </w:style>
  <w:style w:type="character" w:customStyle="1" w:styleId="Heading2Char">
    <w:name w:val="Heading 2 Char"/>
    <w:basedOn w:val="DefaultParagraphFont"/>
    <w:link w:val="Heading2"/>
    <w:uiPriority w:val="9"/>
    <w:rsid w:val="004F06C1"/>
    <w:rPr>
      <w:rFonts w:ascii="Arial" w:eastAsiaTheme="majorEastAsia" w:hAnsi="Arial" w:cstheme="majorBidi"/>
      <w:bCs/>
      <w:kern w:val="32"/>
      <w:sz w:val="24"/>
      <w:szCs w:val="26"/>
    </w:rPr>
  </w:style>
  <w:style w:type="paragraph" w:customStyle="1" w:styleId="Default">
    <w:name w:val="Default"/>
    <w:rsid w:val="004F06C1"/>
    <w:pPr>
      <w:autoSpaceDE w:val="0"/>
      <w:autoSpaceDN w:val="0"/>
      <w:adjustRightInd w:val="0"/>
      <w:spacing w:after="0" w:line="240" w:lineRule="auto"/>
    </w:pPr>
    <w:rPr>
      <w:rFonts w:ascii="Arial" w:hAnsi="Arial" w:cs="Arial"/>
      <w:color w:val="000000"/>
      <w:sz w:val="24"/>
      <w:szCs w:val="24"/>
    </w:rPr>
  </w:style>
  <w:style w:type="character" w:customStyle="1" w:styleId="bumpedfont15">
    <w:name w:val="bumpedfont15"/>
    <w:basedOn w:val="DefaultParagraphFont"/>
    <w:rsid w:val="00434B97"/>
  </w:style>
  <w:style w:type="paragraph" w:styleId="ListParagraph">
    <w:name w:val="List Paragraph"/>
    <w:basedOn w:val="Normal"/>
    <w:link w:val="ListParagraphChar"/>
    <w:uiPriority w:val="34"/>
    <w:qFormat/>
    <w:rsid w:val="00E53387"/>
    <w:pPr>
      <w:ind w:left="720"/>
      <w:contextualSpacing/>
    </w:pPr>
  </w:style>
  <w:style w:type="table" w:styleId="TableGrid">
    <w:name w:val="Table Grid"/>
    <w:basedOn w:val="TableNormal"/>
    <w:uiPriority w:val="59"/>
    <w:rsid w:val="0068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468"/>
    <w:rPr>
      <w:color w:val="0000FF" w:themeColor="hyperlink"/>
      <w:u w:val="single"/>
    </w:rPr>
  </w:style>
  <w:style w:type="character" w:styleId="UnresolvedMention">
    <w:name w:val="Unresolved Mention"/>
    <w:basedOn w:val="DefaultParagraphFont"/>
    <w:uiPriority w:val="99"/>
    <w:semiHidden/>
    <w:unhideWhenUsed/>
    <w:rsid w:val="00E47468"/>
    <w:rPr>
      <w:color w:val="605E5C"/>
      <w:shd w:val="clear" w:color="auto" w:fill="E1DFDD"/>
    </w:rPr>
  </w:style>
  <w:style w:type="paragraph" w:styleId="HTMLPreformatted">
    <w:name w:val="HTML Preformatted"/>
    <w:basedOn w:val="Normal"/>
    <w:link w:val="HTMLPreformattedChar"/>
    <w:uiPriority w:val="99"/>
    <w:semiHidden/>
    <w:unhideWhenUsed/>
    <w:rsid w:val="000B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bCs w:val="0"/>
      <w:kern w:val="0"/>
      <w:sz w:val="20"/>
      <w:szCs w:val="20"/>
    </w:rPr>
  </w:style>
  <w:style w:type="character" w:customStyle="1" w:styleId="HTMLPreformattedChar">
    <w:name w:val="HTML Preformatted Char"/>
    <w:basedOn w:val="DefaultParagraphFont"/>
    <w:link w:val="HTMLPreformatted"/>
    <w:uiPriority w:val="99"/>
    <w:semiHidden/>
    <w:rsid w:val="000B3DEA"/>
    <w:rPr>
      <w:rFonts w:ascii="Courier New" w:eastAsia="Times New Roman" w:hAnsi="Courier New" w:cs="Courier New"/>
      <w:sz w:val="20"/>
      <w:szCs w:val="20"/>
    </w:rPr>
  </w:style>
  <w:style w:type="character" w:customStyle="1" w:styleId="normaltextrun">
    <w:name w:val="normaltextrun"/>
    <w:basedOn w:val="DefaultParagraphFont"/>
    <w:rsid w:val="00174B18"/>
  </w:style>
  <w:style w:type="character" w:customStyle="1" w:styleId="ListParagraphChar">
    <w:name w:val="List Paragraph Char"/>
    <w:basedOn w:val="DefaultParagraphFont"/>
    <w:link w:val="ListParagraph"/>
    <w:uiPriority w:val="34"/>
    <w:rsid w:val="0070025A"/>
    <w:rPr>
      <w:rFonts w:ascii="Arial" w:eastAsia="Times New Roman" w:hAnsi="Arial" w:cs="Arial"/>
      <w:bCs/>
      <w:kern w:val="32"/>
      <w:sz w:val="24"/>
      <w:szCs w:val="24"/>
    </w:rPr>
  </w:style>
  <w:style w:type="character" w:customStyle="1" w:styleId="num">
    <w:name w:val="num"/>
    <w:basedOn w:val="DefaultParagraphFont"/>
    <w:rsid w:val="00237633"/>
  </w:style>
  <w:style w:type="character" w:customStyle="1" w:styleId="heading">
    <w:name w:val="heading"/>
    <w:basedOn w:val="DefaultParagraphFont"/>
    <w:rsid w:val="00237633"/>
  </w:style>
  <w:style w:type="character" w:customStyle="1" w:styleId="chapeau">
    <w:name w:val="chapeau"/>
    <w:basedOn w:val="DefaultParagraphFont"/>
    <w:rsid w:val="00237633"/>
  </w:style>
  <w:style w:type="character" w:styleId="Mention">
    <w:name w:val="Mention"/>
    <w:basedOn w:val="DefaultParagraphFont"/>
    <w:uiPriority w:val="99"/>
    <w:unhideWhenUsed/>
    <w:rsid w:val="00A45DE5"/>
    <w:rPr>
      <w:color w:val="2B579A"/>
      <w:shd w:val="clear" w:color="auto" w:fill="E1DFDD"/>
    </w:rPr>
  </w:style>
  <w:style w:type="table" w:styleId="GridTable4-Accent1">
    <w:name w:val="Grid Table 4 Accent 1"/>
    <w:basedOn w:val="TableNormal"/>
    <w:uiPriority w:val="49"/>
    <w:rsid w:val="00A3069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545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9545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921">
      <w:bodyDiv w:val="1"/>
      <w:marLeft w:val="0"/>
      <w:marRight w:val="0"/>
      <w:marTop w:val="0"/>
      <w:marBottom w:val="0"/>
      <w:divBdr>
        <w:top w:val="none" w:sz="0" w:space="0" w:color="auto"/>
        <w:left w:val="none" w:sz="0" w:space="0" w:color="auto"/>
        <w:bottom w:val="none" w:sz="0" w:space="0" w:color="auto"/>
        <w:right w:val="none" w:sz="0" w:space="0" w:color="auto"/>
      </w:divBdr>
      <w:divsChild>
        <w:div w:id="1457796457">
          <w:marLeft w:val="240"/>
          <w:marRight w:val="0"/>
          <w:marTop w:val="60"/>
          <w:marBottom w:val="60"/>
          <w:divBdr>
            <w:top w:val="none" w:sz="0" w:space="0" w:color="auto"/>
            <w:left w:val="none" w:sz="0" w:space="0" w:color="auto"/>
            <w:bottom w:val="none" w:sz="0" w:space="0" w:color="auto"/>
            <w:right w:val="none" w:sz="0" w:space="0" w:color="auto"/>
          </w:divBdr>
          <w:divsChild>
            <w:div w:id="15117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6465">
      <w:bodyDiv w:val="1"/>
      <w:marLeft w:val="0"/>
      <w:marRight w:val="0"/>
      <w:marTop w:val="0"/>
      <w:marBottom w:val="0"/>
      <w:divBdr>
        <w:top w:val="none" w:sz="0" w:space="0" w:color="auto"/>
        <w:left w:val="none" w:sz="0" w:space="0" w:color="auto"/>
        <w:bottom w:val="none" w:sz="0" w:space="0" w:color="auto"/>
        <w:right w:val="none" w:sz="0" w:space="0" w:color="auto"/>
      </w:divBdr>
    </w:div>
    <w:div w:id="299582443">
      <w:bodyDiv w:val="1"/>
      <w:marLeft w:val="0"/>
      <w:marRight w:val="0"/>
      <w:marTop w:val="0"/>
      <w:marBottom w:val="0"/>
      <w:divBdr>
        <w:top w:val="none" w:sz="0" w:space="0" w:color="auto"/>
        <w:left w:val="none" w:sz="0" w:space="0" w:color="auto"/>
        <w:bottom w:val="none" w:sz="0" w:space="0" w:color="auto"/>
        <w:right w:val="none" w:sz="0" w:space="0" w:color="auto"/>
      </w:divBdr>
    </w:div>
    <w:div w:id="362560839">
      <w:bodyDiv w:val="1"/>
      <w:marLeft w:val="0"/>
      <w:marRight w:val="0"/>
      <w:marTop w:val="0"/>
      <w:marBottom w:val="0"/>
      <w:divBdr>
        <w:top w:val="none" w:sz="0" w:space="0" w:color="auto"/>
        <w:left w:val="none" w:sz="0" w:space="0" w:color="auto"/>
        <w:bottom w:val="none" w:sz="0" w:space="0" w:color="auto"/>
        <w:right w:val="none" w:sz="0" w:space="0" w:color="auto"/>
      </w:divBdr>
    </w:div>
    <w:div w:id="382948294">
      <w:bodyDiv w:val="1"/>
      <w:marLeft w:val="0"/>
      <w:marRight w:val="0"/>
      <w:marTop w:val="0"/>
      <w:marBottom w:val="0"/>
      <w:divBdr>
        <w:top w:val="none" w:sz="0" w:space="0" w:color="auto"/>
        <w:left w:val="none" w:sz="0" w:space="0" w:color="auto"/>
        <w:bottom w:val="none" w:sz="0" w:space="0" w:color="auto"/>
        <w:right w:val="none" w:sz="0" w:space="0" w:color="auto"/>
      </w:divBdr>
    </w:div>
    <w:div w:id="612395179">
      <w:bodyDiv w:val="1"/>
      <w:marLeft w:val="0"/>
      <w:marRight w:val="0"/>
      <w:marTop w:val="0"/>
      <w:marBottom w:val="0"/>
      <w:divBdr>
        <w:top w:val="none" w:sz="0" w:space="0" w:color="auto"/>
        <w:left w:val="none" w:sz="0" w:space="0" w:color="auto"/>
        <w:bottom w:val="none" w:sz="0" w:space="0" w:color="auto"/>
        <w:right w:val="none" w:sz="0" w:space="0" w:color="auto"/>
      </w:divBdr>
      <w:divsChild>
        <w:div w:id="328559663">
          <w:marLeft w:val="240"/>
          <w:marRight w:val="0"/>
          <w:marTop w:val="60"/>
          <w:marBottom w:val="60"/>
          <w:divBdr>
            <w:top w:val="none" w:sz="0" w:space="0" w:color="auto"/>
            <w:left w:val="none" w:sz="0" w:space="0" w:color="auto"/>
            <w:bottom w:val="none" w:sz="0" w:space="0" w:color="auto"/>
            <w:right w:val="none" w:sz="0" w:space="0" w:color="auto"/>
          </w:divBdr>
          <w:divsChild>
            <w:div w:id="735124459">
              <w:marLeft w:val="0"/>
              <w:marRight w:val="0"/>
              <w:marTop w:val="0"/>
              <w:marBottom w:val="0"/>
              <w:divBdr>
                <w:top w:val="none" w:sz="0" w:space="0" w:color="auto"/>
                <w:left w:val="none" w:sz="0" w:space="0" w:color="auto"/>
                <w:bottom w:val="none" w:sz="0" w:space="0" w:color="auto"/>
                <w:right w:val="none" w:sz="0" w:space="0" w:color="auto"/>
              </w:divBdr>
            </w:div>
          </w:divsChild>
        </w:div>
        <w:div w:id="418211786">
          <w:marLeft w:val="240"/>
          <w:marRight w:val="0"/>
          <w:marTop w:val="60"/>
          <w:marBottom w:val="60"/>
          <w:divBdr>
            <w:top w:val="none" w:sz="0" w:space="0" w:color="auto"/>
            <w:left w:val="none" w:sz="0" w:space="0" w:color="auto"/>
            <w:bottom w:val="none" w:sz="0" w:space="0" w:color="auto"/>
            <w:right w:val="none" w:sz="0" w:space="0" w:color="auto"/>
          </w:divBdr>
          <w:divsChild>
            <w:div w:id="1694064454">
              <w:marLeft w:val="0"/>
              <w:marRight w:val="0"/>
              <w:marTop w:val="0"/>
              <w:marBottom w:val="0"/>
              <w:divBdr>
                <w:top w:val="none" w:sz="0" w:space="0" w:color="auto"/>
                <w:left w:val="none" w:sz="0" w:space="0" w:color="auto"/>
                <w:bottom w:val="none" w:sz="0" w:space="0" w:color="auto"/>
                <w:right w:val="none" w:sz="0" w:space="0" w:color="auto"/>
              </w:divBdr>
            </w:div>
          </w:divsChild>
        </w:div>
        <w:div w:id="1653171271">
          <w:marLeft w:val="240"/>
          <w:marRight w:val="0"/>
          <w:marTop w:val="60"/>
          <w:marBottom w:val="60"/>
          <w:divBdr>
            <w:top w:val="none" w:sz="0" w:space="0" w:color="auto"/>
            <w:left w:val="none" w:sz="0" w:space="0" w:color="auto"/>
            <w:bottom w:val="none" w:sz="0" w:space="0" w:color="auto"/>
            <w:right w:val="none" w:sz="0" w:space="0" w:color="auto"/>
          </w:divBdr>
          <w:divsChild>
            <w:div w:id="1773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045">
      <w:bodyDiv w:val="1"/>
      <w:marLeft w:val="0"/>
      <w:marRight w:val="0"/>
      <w:marTop w:val="0"/>
      <w:marBottom w:val="0"/>
      <w:divBdr>
        <w:top w:val="none" w:sz="0" w:space="0" w:color="auto"/>
        <w:left w:val="none" w:sz="0" w:space="0" w:color="auto"/>
        <w:bottom w:val="none" w:sz="0" w:space="0" w:color="auto"/>
        <w:right w:val="none" w:sz="0" w:space="0" w:color="auto"/>
      </w:divBdr>
    </w:div>
    <w:div w:id="768358796">
      <w:bodyDiv w:val="1"/>
      <w:marLeft w:val="0"/>
      <w:marRight w:val="0"/>
      <w:marTop w:val="0"/>
      <w:marBottom w:val="0"/>
      <w:divBdr>
        <w:top w:val="none" w:sz="0" w:space="0" w:color="auto"/>
        <w:left w:val="none" w:sz="0" w:space="0" w:color="auto"/>
        <w:bottom w:val="none" w:sz="0" w:space="0" w:color="auto"/>
        <w:right w:val="none" w:sz="0" w:space="0" w:color="auto"/>
      </w:divBdr>
    </w:div>
    <w:div w:id="780539727">
      <w:bodyDiv w:val="1"/>
      <w:marLeft w:val="0"/>
      <w:marRight w:val="0"/>
      <w:marTop w:val="0"/>
      <w:marBottom w:val="0"/>
      <w:divBdr>
        <w:top w:val="none" w:sz="0" w:space="0" w:color="auto"/>
        <w:left w:val="none" w:sz="0" w:space="0" w:color="auto"/>
        <w:bottom w:val="none" w:sz="0" w:space="0" w:color="auto"/>
        <w:right w:val="none" w:sz="0" w:space="0" w:color="auto"/>
      </w:divBdr>
    </w:div>
    <w:div w:id="953906916">
      <w:bodyDiv w:val="1"/>
      <w:marLeft w:val="0"/>
      <w:marRight w:val="0"/>
      <w:marTop w:val="0"/>
      <w:marBottom w:val="0"/>
      <w:divBdr>
        <w:top w:val="none" w:sz="0" w:space="0" w:color="auto"/>
        <w:left w:val="none" w:sz="0" w:space="0" w:color="auto"/>
        <w:bottom w:val="none" w:sz="0" w:space="0" w:color="auto"/>
        <w:right w:val="none" w:sz="0" w:space="0" w:color="auto"/>
      </w:divBdr>
    </w:div>
    <w:div w:id="1028482845">
      <w:bodyDiv w:val="1"/>
      <w:marLeft w:val="0"/>
      <w:marRight w:val="0"/>
      <w:marTop w:val="0"/>
      <w:marBottom w:val="0"/>
      <w:divBdr>
        <w:top w:val="none" w:sz="0" w:space="0" w:color="auto"/>
        <w:left w:val="none" w:sz="0" w:space="0" w:color="auto"/>
        <w:bottom w:val="none" w:sz="0" w:space="0" w:color="auto"/>
        <w:right w:val="none" w:sz="0" w:space="0" w:color="auto"/>
      </w:divBdr>
    </w:div>
    <w:div w:id="1099713568">
      <w:bodyDiv w:val="1"/>
      <w:marLeft w:val="0"/>
      <w:marRight w:val="0"/>
      <w:marTop w:val="0"/>
      <w:marBottom w:val="0"/>
      <w:divBdr>
        <w:top w:val="none" w:sz="0" w:space="0" w:color="auto"/>
        <w:left w:val="none" w:sz="0" w:space="0" w:color="auto"/>
        <w:bottom w:val="none" w:sz="0" w:space="0" w:color="auto"/>
        <w:right w:val="none" w:sz="0" w:space="0" w:color="auto"/>
      </w:divBdr>
    </w:div>
    <w:div w:id="1124695121">
      <w:bodyDiv w:val="1"/>
      <w:marLeft w:val="0"/>
      <w:marRight w:val="0"/>
      <w:marTop w:val="0"/>
      <w:marBottom w:val="0"/>
      <w:divBdr>
        <w:top w:val="none" w:sz="0" w:space="0" w:color="auto"/>
        <w:left w:val="none" w:sz="0" w:space="0" w:color="auto"/>
        <w:bottom w:val="none" w:sz="0" w:space="0" w:color="auto"/>
        <w:right w:val="none" w:sz="0" w:space="0" w:color="auto"/>
      </w:divBdr>
    </w:div>
    <w:div w:id="1259412573">
      <w:bodyDiv w:val="1"/>
      <w:marLeft w:val="0"/>
      <w:marRight w:val="0"/>
      <w:marTop w:val="0"/>
      <w:marBottom w:val="0"/>
      <w:divBdr>
        <w:top w:val="none" w:sz="0" w:space="0" w:color="auto"/>
        <w:left w:val="none" w:sz="0" w:space="0" w:color="auto"/>
        <w:bottom w:val="none" w:sz="0" w:space="0" w:color="auto"/>
        <w:right w:val="none" w:sz="0" w:space="0" w:color="auto"/>
      </w:divBdr>
    </w:div>
    <w:div w:id="1443190153">
      <w:bodyDiv w:val="1"/>
      <w:marLeft w:val="0"/>
      <w:marRight w:val="0"/>
      <w:marTop w:val="0"/>
      <w:marBottom w:val="0"/>
      <w:divBdr>
        <w:top w:val="none" w:sz="0" w:space="0" w:color="auto"/>
        <w:left w:val="none" w:sz="0" w:space="0" w:color="auto"/>
        <w:bottom w:val="none" w:sz="0" w:space="0" w:color="auto"/>
        <w:right w:val="none" w:sz="0" w:space="0" w:color="auto"/>
      </w:divBdr>
    </w:div>
    <w:div w:id="1571039879">
      <w:bodyDiv w:val="1"/>
      <w:marLeft w:val="0"/>
      <w:marRight w:val="0"/>
      <w:marTop w:val="0"/>
      <w:marBottom w:val="0"/>
      <w:divBdr>
        <w:top w:val="none" w:sz="0" w:space="0" w:color="auto"/>
        <w:left w:val="none" w:sz="0" w:space="0" w:color="auto"/>
        <w:bottom w:val="none" w:sz="0" w:space="0" w:color="auto"/>
        <w:right w:val="none" w:sz="0" w:space="0" w:color="auto"/>
      </w:divBdr>
    </w:div>
    <w:div w:id="1859002405">
      <w:bodyDiv w:val="1"/>
      <w:marLeft w:val="0"/>
      <w:marRight w:val="0"/>
      <w:marTop w:val="0"/>
      <w:marBottom w:val="0"/>
      <w:divBdr>
        <w:top w:val="none" w:sz="0" w:space="0" w:color="auto"/>
        <w:left w:val="none" w:sz="0" w:space="0" w:color="auto"/>
        <w:bottom w:val="none" w:sz="0" w:space="0" w:color="auto"/>
        <w:right w:val="none" w:sz="0" w:space="0" w:color="auto"/>
      </w:divBdr>
    </w:div>
    <w:div w:id="2090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1A72-931B-45FA-9363-3AB0A6AA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2023-03-31T14:05:00Z</dcterms:created>
  <dcterms:modified xsi:type="dcterms:W3CDTF">2023-03-31T14:12:00Z</dcterms:modified>
</cp:coreProperties>
</file>